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071A1" w14:textId="77777777" w:rsidR="00E403DE" w:rsidRDefault="00E403DE" w:rsidP="00C15617">
      <w:pPr>
        <w:pStyle w:val="Heading1"/>
      </w:pPr>
      <w:bookmarkStart w:id="0" w:name="_Toc83275267"/>
      <w:r>
        <w:t>Introduction</w:t>
      </w:r>
      <w:bookmarkEnd w:id="0"/>
    </w:p>
    <w:p w14:paraId="3D0552DA" w14:textId="19929A15" w:rsidR="008F7149" w:rsidRDefault="008F7149" w:rsidP="00AF52B7">
      <w:pPr>
        <w:pStyle w:val="BodyText"/>
        <w:numPr>
          <w:ilvl w:val="0"/>
          <w:numId w:val="0"/>
        </w:numPr>
        <w:ind w:left="720"/>
      </w:pPr>
      <w:r w:rsidRPr="008F7149">
        <w:t xml:space="preserve">Australian financial services (AFS) licensees and authorised representatives that receive monetary benefits (e.g. commissions) as part of the issue or sale of general insurance, certain life insurance or consumer credit insurance to a retail client (client) in </w:t>
      </w:r>
      <w:r>
        <w:t>P</w:t>
      </w:r>
      <w:r w:rsidRPr="008F7149">
        <w:t xml:space="preserve">ersonal </w:t>
      </w:r>
      <w:r>
        <w:t>A</w:t>
      </w:r>
      <w:r w:rsidRPr="008F7149">
        <w:t>dvice situations must obtain informed consent from the relevant client to the benefit being given to avoid the benefit being classified as conflicted remuneration.</w:t>
      </w:r>
    </w:p>
    <w:p w14:paraId="0FE5CC58" w14:textId="06326470" w:rsidR="006479F8" w:rsidRPr="00884560" w:rsidRDefault="006479F8" w:rsidP="00AF52B7">
      <w:pPr>
        <w:pStyle w:val="BodyText"/>
        <w:numPr>
          <w:ilvl w:val="0"/>
          <w:numId w:val="0"/>
        </w:numPr>
        <w:ind w:left="720"/>
      </w:pPr>
      <w:r w:rsidRPr="00884560">
        <w:t>The informed consent obligation is therefore only triggered where Personal Advice is provided.</w:t>
      </w:r>
    </w:p>
    <w:p w14:paraId="53F7C0A6" w14:textId="2E077DE2" w:rsidR="008F7149" w:rsidRPr="00884560" w:rsidRDefault="008F7149" w:rsidP="00AF52B7">
      <w:pPr>
        <w:pStyle w:val="BodyText"/>
        <w:numPr>
          <w:ilvl w:val="0"/>
          <w:numId w:val="0"/>
        </w:numPr>
        <w:ind w:left="720"/>
        <w:rPr>
          <w:rFonts w:eastAsiaTheme="minorHAnsi"/>
        </w:rPr>
      </w:pPr>
      <w:r w:rsidRPr="00884560">
        <w:t xml:space="preserve">S766 B (3) </w:t>
      </w:r>
      <w:r w:rsidR="006479F8" w:rsidRPr="00884560">
        <w:t xml:space="preserve">of the Corporations Act </w:t>
      </w:r>
      <w:r w:rsidRPr="00884560">
        <w:t xml:space="preserve">defines </w:t>
      </w:r>
      <w:r w:rsidRPr="00884560">
        <w:rPr>
          <w:rFonts w:eastAsiaTheme="minorHAnsi"/>
        </w:rPr>
        <w:t>Personal Advice as being</w:t>
      </w:r>
      <w:r w:rsidR="00917263">
        <w:rPr>
          <w:rFonts w:eastAsiaTheme="minorHAnsi"/>
        </w:rPr>
        <w:t>:</w:t>
      </w:r>
    </w:p>
    <w:p w14:paraId="2704D67D" w14:textId="2AB4C1F1" w:rsidR="008F7149" w:rsidRPr="00884560" w:rsidRDefault="00AF52B7" w:rsidP="00AF52B7">
      <w:pPr>
        <w:pStyle w:val="BodyText"/>
        <w:numPr>
          <w:ilvl w:val="0"/>
          <w:numId w:val="0"/>
        </w:numPr>
        <w:ind w:left="720"/>
        <w:rPr>
          <w:rFonts w:eastAsiaTheme="minorHAnsi"/>
        </w:rPr>
      </w:pPr>
      <w:r>
        <w:rPr>
          <w:rFonts w:eastAsiaTheme="minorHAnsi"/>
        </w:rPr>
        <w:t>“</w:t>
      </w:r>
      <w:r w:rsidR="008F7149" w:rsidRPr="00884560">
        <w:rPr>
          <w:rFonts w:eastAsiaTheme="minorHAnsi"/>
        </w:rPr>
        <w:t>financial product advice that is given or directed to a person (including by electronic means) in circumstances where:</w:t>
      </w:r>
    </w:p>
    <w:p w14:paraId="5DA0CEDE" w14:textId="7168F902" w:rsidR="00884560" w:rsidRPr="00884560" w:rsidRDefault="008F7149" w:rsidP="00AF52B7">
      <w:pPr>
        <w:pStyle w:val="BodyText"/>
        <w:numPr>
          <w:ilvl w:val="0"/>
          <w:numId w:val="16"/>
        </w:numPr>
        <w:ind w:left="1080"/>
      </w:pPr>
      <w:r w:rsidRPr="00884560">
        <w:rPr>
          <w:rFonts w:eastAsiaTheme="minorHAnsi"/>
        </w:rPr>
        <w:t>the provider of the advice has considered one or more of the person’s objectives, financial situation and needs</w:t>
      </w:r>
      <w:r w:rsidR="00884560" w:rsidRPr="00884560">
        <w:t xml:space="preserve"> or,</w:t>
      </w:r>
    </w:p>
    <w:p w14:paraId="7A845511" w14:textId="228ECB12" w:rsidR="00884560" w:rsidRPr="00884560" w:rsidRDefault="00884560" w:rsidP="00AF52B7">
      <w:pPr>
        <w:pStyle w:val="BodyText"/>
        <w:numPr>
          <w:ilvl w:val="0"/>
          <w:numId w:val="16"/>
        </w:numPr>
        <w:ind w:left="1080"/>
      </w:pPr>
      <w:r w:rsidRPr="00884560">
        <w:t>a reasonable person might expect the provider to have considered one or more of those matters.</w:t>
      </w:r>
      <w:r w:rsidR="00AF52B7">
        <w:t>”</w:t>
      </w:r>
    </w:p>
    <w:p w14:paraId="74FAEB06" w14:textId="6E82D0C9" w:rsidR="008F7149" w:rsidRPr="008F7149" w:rsidRDefault="008F7149" w:rsidP="003A0090">
      <w:pPr>
        <w:pStyle w:val="Heading1"/>
      </w:pPr>
      <w:r w:rsidRPr="008F7149">
        <w:t>Personal Advice in the General Insurance Context</w:t>
      </w:r>
    </w:p>
    <w:p w14:paraId="116EC552" w14:textId="77777777" w:rsidR="00E1201F" w:rsidRDefault="008F7149" w:rsidP="00AF52B7">
      <w:pPr>
        <w:pStyle w:val="BodyText"/>
        <w:numPr>
          <w:ilvl w:val="0"/>
          <w:numId w:val="0"/>
        </w:numPr>
      </w:pPr>
      <w:r w:rsidRPr="008F7149">
        <w:t xml:space="preserve">In the “general insurance” context there has yet to be any test court cases or ASIC actions that spell out a clear interpretation of “Personal </w:t>
      </w:r>
      <w:r>
        <w:t>A</w:t>
      </w:r>
      <w:r w:rsidRPr="008F7149">
        <w:t>dvice”</w:t>
      </w:r>
      <w:r w:rsidR="00E1201F">
        <w:t>.</w:t>
      </w:r>
    </w:p>
    <w:p w14:paraId="7AB2F5F2" w14:textId="27B3C06E" w:rsidR="008F7149" w:rsidRPr="00917263" w:rsidRDefault="00E1201F" w:rsidP="00AF52B7">
      <w:pPr>
        <w:pStyle w:val="BodyText"/>
        <w:numPr>
          <w:ilvl w:val="0"/>
          <w:numId w:val="0"/>
        </w:numPr>
        <w:rPr>
          <w:rFonts w:eastAsiaTheme="minorHAnsi"/>
        </w:rPr>
      </w:pPr>
      <w:r w:rsidRPr="00917263">
        <w:t xml:space="preserve">Our </w:t>
      </w:r>
      <w:r w:rsidR="008F7149" w:rsidRPr="00917263">
        <w:t>reasoning for the view that insurance brokers</w:t>
      </w:r>
      <w:r w:rsidR="00B31179" w:rsidRPr="00917263">
        <w:t xml:space="preserve"> on </w:t>
      </w:r>
      <w:r w:rsidRPr="00917263">
        <w:t>most of</w:t>
      </w:r>
      <w:r w:rsidR="00B31179" w:rsidRPr="00917263">
        <w:t xml:space="preserve"> their client interactions </w:t>
      </w:r>
      <w:r w:rsidR="008F7149" w:rsidRPr="00917263">
        <w:t>do</w:t>
      </w:r>
      <w:r w:rsidR="00B31179" w:rsidRPr="00917263">
        <w:t xml:space="preserve"> not</w:t>
      </w:r>
      <w:r w:rsidR="008F7149" w:rsidRPr="00917263">
        <w:t xml:space="preserve"> meet the standards required to be able to claim they offer “Personal Advice”</w:t>
      </w:r>
      <w:r w:rsidRPr="00917263">
        <w:t xml:space="preserve"> is as follows:</w:t>
      </w:r>
    </w:p>
    <w:p w14:paraId="734E0FAF" w14:textId="0F2118DC" w:rsidR="008F7149" w:rsidRDefault="008F7149" w:rsidP="00AF52B7">
      <w:pPr>
        <w:pStyle w:val="BodyText"/>
      </w:pPr>
      <w:r w:rsidRPr="008F7149">
        <w:t xml:space="preserve">In many cases the only difference in the service and advice provided to </w:t>
      </w:r>
      <w:r>
        <w:t xml:space="preserve">Retail Clients </w:t>
      </w:r>
      <w:r w:rsidRPr="008F7149">
        <w:t>by a general insurer versus an insurance broker is that the insurance broker has the ability to access multiple quotes, with almost identical cover offered by the various policies.</w:t>
      </w:r>
    </w:p>
    <w:p w14:paraId="093686E5" w14:textId="71F05B8F" w:rsidR="008F7149" w:rsidRPr="008F7149" w:rsidRDefault="008F7149" w:rsidP="00AF52B7">
      <w:pPr>
        <w:pStyle w:val="BodyText"/>
      </w:pPr>
      <w:r w:rsidRPr="008F7149">
        <w:t>General Insurers</w:t>
      </w:r>
      <w:r>
        <w:t xml:space="preserve"> and their agents,</w:t>
      </w:r>
      <w:r w:rsidRPr="008F7149">
        <w:t xml:space="preserve"> typically only provide “General Advice” and not “Personal Advice”.  Simply being able to access multiple quotes does not change the insurance broker’s advice from “General Advice” to “Personal Advice”.</w:t>
      </w:r>
    </w:p>
    <w:p w14:paraId="6D2E34AD" w14:textId="2B8C1AB7" w:rsidR="008F7149" w:rsidRPr="008F7149" w:rsidRDefault="008F7149" w:rsidP="00AF52B7">
      <w:pPr>
        <w:pStyle w:val="BodyText"/>
      </w:pPr>
      <w:r w:rsidRPr="008F7149">
        <w:t>In almost all cases, both insurers and brokers are providing quotations based solely on coverage requests and information provided by the client in relation to construction, location, sums insured, claims experience etc.</w:t>
      </w:r>
      <w:r w:rsidR="006479F8">
        <w:t xml:space="preserve">  This information is required to price the insurance coverage and not to provide “Personal Advice”</w:t>
      </w:r>
    </w:p>
    <w:p w14:paraId="61818C17" w14:textId="474F552E" w:rsidR="008F7149" w:rsidRPr="008F7149" w:rsidRDefault="008F7149" w:rsidP="00AF52B7">
      <w:pPr>
        <w:pStyle w:val="BodyText"/>
      </w:pPr>
      <w:r>
        <w:t xml:space="preserve">Insurance </w:t>
      </w:r>
      <w:r w:rsidRPr="008F7149">
        <w:t>Brokers do not usually:</w:t>
      </w:r>
    </w:p>
    <w:p w14:paraId="41E83E99" w14:textId="77777777" w:rsidR="008F7149" w:rsidRPr="008F7149" w:rsidRDefault="008F7149" w:rsidP="00AF52B7">
      <w:pPr>
        <w:pStyle w:val="BodyText"/>
        <w:numPr>
          <w:ilvl w:val="0"/>
          <w:numId w:val="13"/>
        </w:numPr>
        <w:ind w:left="1080"/>
      </w:pPr>
      <w:r w:rsidRPr="008F7149">
        <w:t>Complete an assessment of the “financial situation” of the client.  Insurance brokers do not look at the ability of the client to be able to pay the premium for example.</w:t>
      </w:r>
    </w:p>
    <w:p w14:paraId="05B6512C" w14:textId="77777777" w:rsidR="008F7149" w:rsidRPr="008F7149" w:rsidRDefault="008F7149" w:rsidP="00AF52B7">
      <w:pPr>
        <w:pStyle w:val="BodyText"/>
        <w:numPr>
          <w:ilvl w:val="0"/>
          <w:numId w:val="13"/>
        </w:numPr>
        <w:ind w:left="1080"/>
      </w:pPr>
      <w:r w:rsidRPr="008F7149">
        <w:t>Conduct an analysis of the “objectives” and “needs” of the client.  In most cases the insurance broker is told what insurance is required by the client and responds to that request</w:t>
      </w:r>
    </w:p>
    <w:p w14:paraId="3E54B371" w14:textId="1E56D344" w:rsidR="008F7149" w:rsidRPr="008F7149" w:rsidRDefault="008F7149" w:rsidP="00AF52B7">
      <w:pPr>
        <w:pStyle w:val="BodyText"/>
        <w:numPr>
          <w:ilvl w:val="0"/>
          <w:numId w:val="13"/>
        </w:numPr>
        <w:ind w:left="1080"/>
      </w:pPr>
      <w:r w:rsidRPr="008F7149">
        <w:lastRenderedPageBreak/>
        <w:t xml:space="preserve">Provide any advice that recommends specific </w:t>
      </w:r>
      <w:r w:rsidR="006479F8">
        <w:t xml:space="preserve">tailored </w:t>
      </w:r>
      <w:r w:rsidRPr="008F7149">
        <w:t>coverage optio</w:t>
      </w:r>
      <w:r w:rsidR="006479F8">
        <w:t xml:space="preserve">ns </w:t>
      </w:r>
      <w:r w:rsidRPr="008F7149">
        <w:t>that have not been requested by the client.</w:t>
      </w:r>
    </w:p>
    <w:p w14:paraId="6424C8D9" w14:textId="4B199B82" w:rsidR="008F7149" w:rsidRPr="008F7149" w:rsidRDefault="008F7149" w:rsidP="00AF52B7">
      <w:pPr>
        <w:pStyle w:val="BodyText"/>
      </w:pPr>
      <w:r w:rsidRPr="008F7149">
        <w:t xml:space="preserve">In our experience </w:t>
      </w:r>
      <w:r w:rsidR="00E1201F" w:rsidRPr="008F7149">
        <w:t>most</w:t>
      </w:r>
      <w:r w:rsidRPr="008F7149">
        <w:t xml:space="preserve"> insurance brokers only provide “General Advice”, especially on what would be considered “vanilla” products such home/motor/strata etc.  The use of this General Advice model becomes even more prevalent where the transaction involves a renewal with no significant changes to the </w:t>
      </w:r>
      <w:r w:rsidR="006479F8">
        <w:t xml:space="preserve">insurance risks </w:t>
      </w:r>
      <w:r w:rsidRPr="008F7149">
        <w:t>to be insured.</w:t>
      </w:r>
    </w:p>
    <w:p w14:paraId="28C28CD3" w14:textId="03DC0875" w:rsidR="00884560" w:rsidRDefault="008F7149" w:rsidP="00AF52B7">
      <w:pPr>
        <w:pStyle w:val="BodyText"/>
      </w:pPr>
      <w:r w:rsidRPr="00884560">
        <w:t>ASIC have previously indicated the</w:t>
      </w:r>
      <w:r w:rsidR="00B31179" w:rsidRPr="00884560">
        <w:t>ir</w:t>
      </w:r>
      <w:r w:rsidRPr="00884560">
        <w:t xml:space="preserve"> view that </w:t>
      </w:r>
      <w:r w:rsidR="00B31179" w:rsidRPr="00884560">
        <w:t xml:space="preserve">a General Advice model should be supported by a </w:t>
      </w:r>
      <w:r w:rsidRPr="00884560">
        <w:t xml:space="preserve">Financial Services Guide </w:t>
      </w:r>
      <w:r w:rsidR="00B31179" w:rsidRPr="00884560">
        <w:t xml:space="preserve">that </w:t>
      </w:r>
      <w:r w:rsidRPr="00884560">
        <w:t>clearly states that the business typically provides General Advice to Retail Clients and th</w:t>
      </w:r>
      <w:r w:rsidR="00B31179" w:rsidRPr="00884560">
        <w:t xml:space="preserve">at </w:t>
      </w:r>
      <w:r w:rsidRPr="00884560">
        <w:t>information supplied with invoices also includes a “General Advice Warning”</w:t>
      </w:r>
      <w:r w:rsidR="00B31179" w:rsidRPr="00884560">
        <w:t>.</w:t>
      </w:r>
    </w:p>
    <w:p w14:paraId="0FF37847" w14:textId="27CC131F" w:rsidR="00B31179" w:rsidRPr="00884560" w:rsidRDefault="00884560" w:rsidP="00AF52B7">
      <w:pPr>
        <w:pStyle w:val="BodyText"/>
        <w:numPr>
          <w:ilvl w:val="0"/>
          <w:numId w:val="0"/>
        </w:numPr>
        <w:ind w:left="720"/>
      </w:pPr>
      <w:r w:rsidRPr="00884560">
        <w:t xml:space="preserve">Such disclosures remove the trigger in S766 regarding a </w:t>
      </w:r>
      <w:r w:rsidRPr="00884560">
        <w:t>reasonable person might expect the provider to have considered one or more of those matters.</w:t>
      </w:r>
    </w:p>
    <w:p w14:paraId="375E0350" w14:textId="6EF06F42" w:rsidR="008F7149" w:rsidRPr="008F7149" w:rsidRDefault="00B31179" w:rsidP="00AF52B7">
      <w:pPr>
        <w:pStyle w:val="BodyText"/>
        <w:numPr>
          <w:ilvl w:val="0"/>
          <w:numId w:val="0"/>
        </w:numPr>
        <w:ind w:left="720"/>
      </w:pPr>
      <w:r>
        <w:t>Insurance brokers that follow these</w:t>
      </w:r>
      <w:r w:rsidR="008F7149">
        <w:t xml:space="preserve"> </w:t>
      </w:r>
      <w:r>
        <w:t xml:space="preserve">requirements can have added confidence in the adoption of a </w:t>
      </w:r>
      <w:r>
        <w:t xml:space="preserve">“General Advice” model </w:t>
      </w:r>
      <w:r>
        <w:t>and reduce the risk of the client or the regulator taking any</w:t>
      </w:r>
      <w:r w:rsidR="00E1201F">
        <w:t xml:space="preserve"> and all</w:t>
      </w:r>
      <w:r>
        <w:t xml:space="preserve"> advice provided as being Personal Advice.</w:t>
      </w:r>
    </w:p>
    <w:p w14:paraId="3ED8A16C" w14:textId="468F0A87" w:rsidR="008F7149" w:rsidRDefault="00B31179" w:rsidP="00AF52B7">
      <w:pPr>
        <w:pStyle w:val="BodyText"/>
      </w:pPr>
      <w:r>
        <w:t xml:space="preserve">We have supported a number of insurance brokers </w:t>
      </w:r>
      <w:r w:rsidR="00E1201F">
        <w:t xml:space="preserve">in </w:t>
      </w:r>
      <w:r w:rsidR="008F7149" w:rsidRPr="00B31179">
        <w:t>various misconduct matters</w:t>
      </w:r>
      <w:r>
        <w:t xml:space="preserve"> </w:t>
      </w:r>
      <w:r w:rsidR="008F7149" w:rsidRPr="00B31179">
        <w:t xml:space="preserve">that have been reported to </w:t>
      </w:r>
      <w:r>
        <w:t xml:space="preserve">and investigated by </w:t>
      </w:r>
      <w:r w:rsidR="008F7149" w:rsidRPr="00B31179">
        <w:t>ASIC.  Many of the cases involve policies</w:t>
      </w:r>
      <w:r>
        <w:t xml:space="preserve"> and situations</w:t>
      </w:r>
      <w:r w:rsidR="008F7149" w:rsidRPr="00B31179">
        <w:t xml:space="preserve"> where the </w:t>
      </w:r>
      <w:r>
        <w:t xml:space="preserve">insurance </w:t>
      </w:r>
      <w:r w:rsidR="008F7149" w:rsidRPr="00B31179">
        <w:t xml:space="preserve">broker has provided General Advice.  ASIC have never raised or queried the “General Advice” model adopted by the </w:t>
      </w:r>
      <w:r>
        <w:t xml:space="preserve">insurance </w:t>
      </w:r>
      <w:r w:rsidRPr="00B31179">
        <w:t>broker</w:t>
      </w:r>
      <w:r>
        <w:t>s</w:t>
      </w:r>
      <w:r w:rsidRPr="00B31179">
        <w:t xml:space="preserve"> </w:t>
      </w:r>
      <w:r w:rsidR="008F7149" w:rsidRPr="00B31179">
        <w:t>in these cases.</w:t>
      </w:r>
    </w:p>
    <w:p w14:paraId="13C46024" w14:textId="777483A2" w:rsidR="006479F8" w:rsidRPr="00B31179" w:rsidRDefault="006479F8" w:rsidP="00AF52B7">
      <w:pPr>
        <w:pStyle w:val="Heading1"/>
      </w:pPr>
      <w:r>
        <w:t>Other Issues to Consider</w:t>
      </w:r>
    </w:p>
    <w:p w14:paraId="7689EF86" w14:textId="7DA3A030" w:rsidR="006479F8" w:rsidRDefault="008F7149" w:rsidP="00AF52B7">
      <w:pPr>
        <w:pStyle w:val="BodyText"/>
        <w:numPr>
          <w:ilvl w:val="0"/>
          <w:numId w:val="15"/>
        </w:numPr>
      </w:pPr>
      <w:r w:rsidRPr="008F7149">
        <w:t>The Financial Services Guide</w:t>
      </w:r>
      <w:r w:rsidR="00AF52B7">
        <w:t>s</w:t>
      </w:r>
      <w:r w:rsidRPr="008F7149">
        <w:t xml:space="preserve"> </w:t>
      </w:r>
      <w:r w:rsidR="006479F8">
        <w:t xml:space="preserve">of all insurance brokers clearly </w:t>
      </w:r>
      <w:r w:rsidRPr="008F7149">
        <w:t>explains that insurance brokers receive commission</w:t>
      </w:r>
      <w:r w:rsidR="006479F8">
        <w:t xml:space="preserve">.  In </w:t>
      </w:r>
      <w:r w:rsidR="00E1201F">
        <w:t>addition,</w:t>
      </w:r>
      <w:r w:rsidR="006479F8">
        <w:t xml:space="preserve"> brokers that are either NIBA members or comply with the Insurance Brokers Code of Practice are already required to disclose the </w:t>
      </w:r>
      <w:r w:rsidRPr="008F7149">
        <w:t>actual commission received from insurers on</w:t>
      </w:r>
      <w:r w:rsidR="00AF52B7">
        <w:t xml:space="preserve"> invoices or other documentation for </w:t>
      </w:r>
      <w:r w:rsidR="00713064">
        <w:t>Retail Client policies</w:t>
      </w:r>
      <w:r w:rsidR="00AF52B7">
        <w:t xml:space="preserve"> regardless of the type of advice being provided</w:t>
      </w:r>
      <w:r w:rsidR="006479F8">
        <w:t>.</w:t>
      </w:r>
    </w:p>
    <w:p w14:paraId="140DF272" w14:textId="63B250BE" w:rsidR="008F7149" w:rsidRPr="00B31179" w:rsidRDefault="008F7149" w:rsidP="00AF52B7">
      <w:pPr>
        <w:pStyle w:val="BodyText"/>
        <w:numPr>
          <w:ilvl w:val="0"/>
          <w:numId w:val="0"/>
        </w:numPr>
        <w:ind w:left="720"/>
      </w:pPr>
      <w:r w:rsidRPr="008F7149">
        <w:t>This means that clients are made fully aware of commission structures and amounts before they make the decision to pay the invoice.</w:t>
      </w:r>
      <w:r w:rsidR="00E1201F">
        <w:t xml:space="preserve">  This mirrors the outcomes anticipated by the Informed Consent requirement.</w:t>
      </w:r>
    </w:p>
    <w:p w14:paraId="761AA9D2" w14:textId="2FC94D83" w:rsidR="008F7149" w:rsidRPr="008F7149" w:rsidRDefault="008F7149" w:rsidP="00AF52B7">
      <w:pPr>
        <w:pStyle w:val="BodyText"/>
        <w:numPr>
          <w:ilvl w:val="0"/>
          <w:numId w:val="15"/>
        </w:numPr>
      </w:pPr>
      <w:r w:rsidRPr="008F7149">
        <w:t xml:space="preserve">We </w:t>
      </w:r>
      <w:r w:rsidR="00713064">
        <w:t xml:space="preserve">acknowledge that </w:t>
      </w:r>
      <w:r w:rsidRPr="008F7149">
        <w:t>there are penalties for not complying with the Informed Consent requirements.  We also note that there are penalties applicable where an insurance broker holds out that it is providing Personal Advice to Retail Clients when the facts would indicate that no such Personal Advice is actually being provided.</w:t>
      </w:r>
    </w:p>
    <w:sectPr w:rsidR="008F7149" w:rsidRPr="008F7149" w:rsidSect="006A335C">
      <w:headerReference w:type="default" r:id="rId7"/>
      <w:pgSz w:w="12240" w:h="15840"/>
      <w:pgMar w:top="851" w:right="1134" w:bottom="851" w:left="1134" w:header="81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A1A1" w14:textId="77777777" w:rsidR="00B4210B" w:rsidRDefault="00B4210B">
      <w:r>
        <w:separator/>
      </w:r>
    </w:p>
  </w:endnote>
  <w:endnote w:type="continuationSeparator" w:id="0">
    <w:p w14:paraId="3C4AB3AF" w14:textId="77777777" w:rsidR="00B4210B" w:rsidRDefault="00B4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Tahoma"/>
    <w:panose1 w:val="020B0704020202020204"/>
    <w:charset w:val="00"/>
    <w:family w:val="swiss"/>
    <w:pitch w:val="variable"/>
    <w:sig w:usb0="00003A87" w:usb1="00000000" w:usb2="00000000" w:usb3="00000000" w:csb0="000000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F26C" w14:textId="77777777" w:rsidR="00B4210B" w:rsidRDefault="00B4210B">
      <w:r>
        <w:separator/>
      </w:r>
    </w:p>
  </w:footnote>
  <w:footnote w:type="continuationSeparator" w:id="0">
    <w:p w14:paraId="4DB5299D" w14:textId="77777777" w:rsidR="00B4210B" w:rsidRDefault="00B42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tblLook w:val="01E0" w:firstRow="1" w:lastRow="1" w:firstColumn="1" w:lastColumn="1" w:noHBand="0" w:noVBand="0"/>
    </w:tblPr>
    <w:tblGrid>
      <w:gridCol w:w="1947"/>
      <w:gridCol w:w="8025"/>
    </w:tblGrid>
    <w:tr w:rsidR="00E802DC" w:rsidRPr="000F1F97" w14:paraId="0A8EFFC2" w14:textId="77777777" w:rsidTr="00E802DC">
      <w:tc>
        <w:tcPr>
          <w:tcW w:w="1951" w:type="dxa"/>
        </w:tcPr>
        <w:p w14:paraId="38F33A91" w14:textId="5D076800" w:rsidR="000B4648" w:rsidRPr="000F1F97" w:rsidRDefault="00762047" w:rsidP="006E6827">
          <w:pPr>
            <w:pStyle w:val="Header"/>
          </w:pPr>
          <w:r>
            <w:rPr>
              <w:noProof/>
            </w:rPr>
            <w:drawing>
              <wp:inline distT="0" distB="0" distL="0" distR="0" wp14:anchorId="55A85C2E" wp14:editId="1EFFF930">
                <wp:extent cx="1021080" cy="525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525780"/>
                        </a:xfrm>
                        <a:prstGeom prst="rect">
                          <a:avLst/>
                        </a:prstGeom>
                        <a:noFill/>
                        <a:ln>
                          <a:noFill/>
                        </a:ln>
                      </pic:spPr>
                    </pic:pic>
                  </a:graphicData>
                </a:graphic>
              </wp:inline>
            </w:drawing>
          </w:r>
        </w:p>
      </w:tc>
      <w:tc>
        <w:tcPr>
          <w:tcW w:w="8222" w:type="dxa"/>
        </w:tcPr>
        <w:p w14:paraId="661A8FBC" w14:textId="77777777" w:rsidR="000B4648" w:rsidRDefault="000B4648" w:rsidP="007F1735">
          <w:pPr>
            <w:pStyle w:val="Header"/>
            <w:jc w:val="right"/>
            <w:rPr>
              <w:sz w:val="28"/>
              <w:szCs w:val="28"/>
            </w:rPr>
          </w:pPr>
        </w:p>
        <w:p w14:paraId="24090EF1" w14:textId="117BBEDD" w:rsidR="000B4648" w:rsidRPr="00FD47C6" w:rsidRDefault="008F7149" w:rsidP="00E802DC">
          <w:pPr>
            <w:pStyle w:val="Header"/>
            <w:jc w:val="right"/>
            <w:rPr>
              <w:b/>
              <w:color w:val="1F497D"/>
              <w:sz w:val="28"/>
              <w:szCs w:val="28"/>
            </w:rPr>
          </w:pPr>
          <w:r>
            <w:rPr>
              <w:b/>
              <w:color w:val="1F497D"/>
              <w:sz w:val="28"/>
              <w:szCs w:val="28"/>
            </w:rPr>
            <w:t xml:space="preserve">Informed Consent </w:t>
          </w:r>
          <w:r w:rsidR="0081765E">
            <w:rPr>
              <w:b/>
              <w:color w:val="1F497D"/>
              <w:sz w:val="28"/>
              <w:szCs w:val="28"/>
            </w:rPr>
            <w:t>Briefing Note</w:t>
          </w:r>
        </w:p>
      </w:tc>
    </w:tr>
  </w:tbl>
  <w:p w14:paraId="2AF65E8A" w14:textId="77777777" w:rsidR="000B4648" w:rsidRDefault="000B4648" w:rsidP="006A3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0FC4"/>
    <w:multiLevelType w:val="hybridMultilevel"/>
    <w:tmpl w:val="A00C8DC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E2C64DA"/>
    <w:multiLevelType w:val="hybridMultilevel"/>
    <w:tmpl w:val="3E8CFD2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3EC69E5"/>
    <w:multiLevelType w:val="hybridMultilevel"/>
    <w:tmpl w:val="09FC8A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1737E5F"/>
    <w:multiLevelType w:val="hybridMultilevel"/>
    <w:tmpl w:val="978A0D6E"/>
    <w:lvl w:ilvl="0" w:tplc="CD02484A">
      <w:start w:val="1"/>
      <w:numFmt w:val="lowerLetter"/>
      <w:lvlText w:val="(%1)"/>
      <w:lvlJc w:val="left"/>
      <w:pPr>
        <w:ind w:left="732" w:hanging="372"/>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BE3546E"/>
    <w:multiLevelType w:val="hybridMultilevel"/>
    <w:tmpl w:val="A09E5E76"/>
    <w:lvl w:ilvl="0" w:tplc="FB741576">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CC5495"/>
    <w:multiLevelType w:val="hybridMultilevel"/>
    <w:tmpl w:val="AE3812F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3F2D17"/>
    <w:multiLevelType w:val="hybridMultilevel"/>
    <w:tmpl w:val="F9225514"/>
    <w:lvl w:ilvl="0" w:tplc="3D1E2A3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F8217C"/>
    <w:multiLevelType w:val="hybridMultilevel"/>
    <w:tmpl w:val="34BC5F10"/>
    <w:lvl w:ilvl="0" w:tplc="3FC007AA">
      <w:start w:val="1"/>
      <w:numFmt w:val="decimal"/>
      <w:pStyle w:val="BodyText"/>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294F78"/>
    <w:multiLevelType w:val="hybridMultilevel"/>
    <w:tmpl w:val="149E78B6"/>
    <w:lvl w:ilvl="0" w:tplc="48400FE6">
      <w:start w:val="1"/>
      <w:numFmt w:val="bullet"/>
      <w:pStyle w:val="BodytextBulleted"/>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A967D0"/>
    <w:multiLevelType w:val="hybridMultilevel"/>
    <w:tmpl w:val="9AC64C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6BE7CF4"/>
    <w:multiLevelType w:val="hybridMultilevel"/>
    <w:tmpl w:val="AB28B5B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A4E19D5"/>
    <w:multiLevelType w:val="hybridMultilevel"/>
    <w:tmpl w:val="A00C8D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3C38E3"/>
    <w:multiLevelType w:val="hybridMultilevel"/>
    <w:tmpl w:val="C43EF84E"/>
    <w:lvl w:ilvl="0" w:tplc="48AA29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BD72E1"/>
    <w:multiLevelType w:val="hybridMultilevel"/>
    <w:tmpl w:val="009EE72E"/>
    <w:lvl w:ilvl="0" w:tplc="3D2623A6">
      <w:start w:val="1"/>
      <w:numFmt w:val="lowerLetter"/>
      <w:lvlText w:val="%1)"/>
      <w:lvlJc w:val="left"/>
      <w:pPr>
        <w:ind w:left="720" w:hanging="360"/>
      </w:pPr>
      <w:rPr>
        <w:rFonts w:eastAsia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BB17E5F"/>
    <w:multiLevelType w:val="hybridMultilevel"/>
    <w:tmpl w:val="1520B83E"/>
    <w:lvl w:ilvl="0" w:tplc="C38443B0">
      <w:start w:val="1"/>
      <w:numFmt w:val="decimal"/>
      <w:pStyle w:val="BodyTextNumbered"/>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F3D1106"/>
    <w:multiLevelType w:val="hybridMultilevel"/>
    <w:tmpl w:val="ADBEFA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520046382">
    <w:abstractNumId w:val="10"/>
  </w:num>
  <w:num w:numId="2" w16cid:durableId="1351756973">
    <w:abstractNumId w:val="14"/>
  </w:num>
  <w:num w:numId="3" w16cid:durableId="433944923">
    <w:abstractNumId w:val="2"/>
  </w:num>
  <w:num w:numId="4" w16cid:durableId="2003315523">
    <w:abstractNumId w:val="14"/>
    <w:lvlOverride w:ilvl="0">
      <w:startOverride w:val="1"/>
    </w:lvlOverride>
  </w:num>
  <w:num w:numId="5" w16cid:durableId="1522277302">
    <w:abstractNumId w:val="8"/>
  </w:num>
  <w:num w:numId="6" w16cid:durableId="1370295760">
    <w:abstractNumId w:val="5"/>
  </w:num>
  <w:num w:numId="7" w16cid:durableId="92676180">
    <w:abstractNumId w:val="11"/>
  </w:num>
  <w:num w:numId="8" w16cid:durableId="1857692773">
    <w:abstractNumId w:val="0"/>
  </w:num>
  <w:num w:numId="9" w16cid:durableId="1679304507">
    <w:abstractNumId w:val="9"/>
  </w:num>
  <w:num w:numId="10" w16cid:durableId="1119760490">
    <w:abstractNumId w:val="3"/>
  </w:num>
  <w:num w:numId="11" w16cid:durableId="14724080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3720226">
    <w:abstractNumId w:val="12"/>
  </w:num>
  <w:num w:numId="13" w16cid:durableId="1259867820">
    <w:abstractNumId w:val="1"/>
  </w:num>
  <w:num w:numId="14" w16cid:durableId="1646229682">
    <w:abstractNumId w:val="6"/>
  </w:num>
  <w:num w:numId="15" w16cid:durableId="945120034">
    <w:abstractNumId w:val="4"/>
  </w:num>
  <w:num w:numId="16" w16cid:durableId="566495436">
    <w:abstractNumId w:val="13"/>
  </w:num>
  <w:num w:numId="17" w16cid:durableId="14811890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9D"/>
    <w:rsid w:val="00024721"/>
    <w:rsid w:val="00067A63"/>
    <w:rsid w:val="000B4648"/>
    <w:rsid w:val="000F6789"/>
    <w:rsid w:val="0011657A"/>
    <w:rsid w:val="00125BB2"/>
    <w:rsid w:val="00150F4D"/>
    <w:rsid w:val="001824D4"/>
    <w:rsid w:val="001A435E"/>
    <w:rsid w:val="001D73EF"/>
    <w:rsid w:val="00203A5A"/>
    <w:rsid w:val="00222843"/>
    <w:rsid w:val="002359F0"/>
    <w:rsid w:val="00272AC4"/>
    <w:rsid w:val="002777FE"/>
    <w:rsid w:val="002931F2"/>
    <w:rsid w:val="002D2523"/>
    <w:rsid w:val="002E26CD"/>
    <w:rsid w:val="002E4C01"/>
    <w:rsid w:val="00366404"/>
    <w:rsid w:val="00385170"/>
    <w:rsid w:val="003A0090"/>
    <w:rsid w:val="003C382D"/>
    <w:rsid w:val="00421E62"/>
    <w:rsid w:val="004454E1"/>
    <w:rsid w:val="00446E49"/>
    <w:rsid w:val="00486A8E"/>
    <w:rsid w:val="0049789D"/>
    <w:rsid w:val="004B32C0"/>
    <w:rsid w:val="004B4047"/>
    <w:rsid w:val="005031C8"/>
    <w:rsid w:val="00512B9A"/>
    <w:rsid w:val="00520D64"/>
    <w:rsid w:val="00531531"/>
    <w:rsid w:val="00543896"/>
    <w:rsid w:val="00574674"/>
    <w:rsid w:val="005A4455"/>
    <w:rsid w:val="005B3E81"/>
    <w:rsid w:val="005B7A21"/>
    <w:rsid w:val="005D08CF"/>
    <w:rsid w:val="005D4AF5"/>
    <w:rsid w:val="005E7A55"/>
    <w:rsid w:val="005F4F68"/>
    <w:rsid w:val="006479F8"/>
    <w:rsid w:val="006776D3"/>
    <w:rsid w:val="006848EF"/>
    <w:rsid w:val="00692ED0"/>
    <w:rsid w:val="006A335C"/>
    <w:rsid w:val="006B2A6A"/>
    <w:rsid w:val="006E6827"/>
    <w:rsid w:val="006E7F58"/>
    <w:rsid w:val="00710E90"/>
    <w:rsid w:val="00713064"/>
    <w:rsid w:val="00721D2C"/>
    <w:rsid w:val="00735B1C"/>
    <w:rsid w:val="007515F6"/>
    <w:rsid w:val="00762047"/>
    <w:rsid w:val="007A030C"/>
    <w:rsid w:val="007D42AF"/>
    <w:rsid w:val="007E1C75"/>
    <w:rsid w:val="007F1735"/>
    <w:rsid w:val="0081765E"/>
    <w:rsid w:val="00835752"/>
    <w:rsid w:val="0084403C"/>
    <w:rsid w:val="00856AB8"/>
    <w:rsid w:val="00884560"/>
    <w:rsid w:val="008E42BB"/>
    <w:rsid w:val="008F7149"/>
    <w:rsid w:val="00917263"/>
    <w:rsid w:val="00923508"/>
    <w:rsid w:val="00942953"/>
    <w:rsid w:val="00943E30"/>
    <w:rsid w:val="009449A1"/>
    <w:rsid w:val="00980293"/>
    <w:rsid w:val="00986E4D"/>
    <w:rsid w:val="009A6CA8"/>
    <w:rsid w:val="009A7274"/>
    <w:rsid w:val="009B6AEB"/>
    <w:rsid w:val="009D6B0F"/>
    <w:rsid w:val="009F2156"/>
    <w:rsid w:val="00A66AF0"/>
    <w:rsid w:val="00AD1D33"/>
    <w:rsid w:val="00AF52B7"/>
    <w:rsid w:val="00B16F2E"/>
    <w:rsid w:val="00B249A3"/>
    <w:rsid w:val="00B31179"/>
    <w:rsid w:val="00B4210B"/>
    <w:rsid w:val="00C04C44"/>
    <w:rsid w:val="00C146F5"/>
    <w:rsid w:val="00C15617"/>
    <w:rsid w:val="00C26D8A"/>
    <w:rsid w:val="00C41A72"/>
    <w:rsid w:val="00C5719B"/>
    <w:rsid w:val="00C97990"/>
    <w:rsid w:val="00CA268B"/>
    <w:rsid w:val="00CF078D"/>
    <w:rsid w:val="00D06447"/>
    <w:rsid w:val="00D1661F"/>
    <w:rsid w:val="00D53FF3"/>
    <w:rsid w:val="00D62B9F"/>
    <w:rsid w:val="00D75680"/>
    <w:rsid w:val="00D801C0"/>
    <w:rsid w:val="00DB4D6F"/>
    <w:rsid w:val="00E1201F"/>
    <w:rsid w:val="00E3660E"/>
    <w:rsid w:val="00E403DE"/>
    <w:rsid w:val="00E802DC"/>
    <w:rsid w:val="00E83E64"/>
    <w:rsid w:val="00E95E6F"/>
    <w:rsid w:val="00EA640E"/>
    <w:rsid w:val="00F1261F"/>
    <w:rsid w:val="00FD47C6"/>
    <w:rsid w:val="00FF47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FFAE7"/>
  <w15:chartTrackingRefBased/>
  <w15:docId w15:val="{0503EA85-6F33-4597-A09B-78CBB38B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49789D"/>
    <w:pPr>
      <w:keepLines/>
      <w:spacing w:after="120"/>
      <w:jc w:val="both"/>
    </w:pPr>
    <w:rPr>
      <w:rFonts w:ascii="Arial" w:hAnsi="Arial"/>
      <w:sz w:val="22"/>
      <w:lang w:val="en-US" w:eastAsia="en-US"/>
    </w:rPr>
  </w:style>
  <w:style w:type="paragraph" w:styleId="Heading1">
    <w:name w:val="heading 1"/>
    <w:basedOn w:val="Normal"/>
    <w:next w:val="Normal"/>
    <w:link w:val="Heading1Char"/>
    <w:autoRedefine/>
    <w:qFormat/>
    <w:rsid w:val="0011657A"/>
    <w:pPr>
      <w:keepNext/>
      <w:spacing w:before="240" w:after="240"/>
      <w:outlineLvl w:val="0"/>
    </w:pPr>
    <w:rPr>
      <w:rFonts w:cs="Arial"/>
      <w:b/>
      <w:bCs/>
      <w:color w:val="1F497D"/>
      <w:kern w:val="32"/>
      <w:sz w:val="32"/>
      <w:szCs w:val="32"/>
      <w:lang w:val="en-AU"/>
    </w:rPr>
  </w:style>
  <w:style w:type="paragraph" w:styleId="Heading2">
    <w:name w:val="heading 2"/>
    <w:basedOn w:val="Normal"/>
    <w:next w:val="Normal"/>
    <w:link w:val="Heading2Char"/>
    <w:semiHidden/>
    <w:unhideWhenUsed/>
    <w:qFormat/>
    <w:rsid w:val="00E403DE"/>
    <w:pPr>
      <w:keepNext/>
      <w:spacing w:before="240" w:after="60"/>
      <w:outlineLvl w:val="1"/>
    </w:pPr>
    <w:rPr>
      <w:rFonts w:ascii="Calibri Light" w:hAnsi="Calibri Light"/>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lockText">
    <w:name w:val="Block Text"/>
    <w:basedOn w:val="Normal"/>
    <w:next w:val="BodyText"/>
    <w:autoRedefine/>
    <w:rsid w:val="0049789D"/>
    <w:pPr>
      <w:jc w:val="left"/>
    </w:pPr>
    <w:rPr>
      <w:rFonts w:ascii="Arial Bold" w:hAnsi="Arial Bold"/>
      <w:b/>
    </w:rPr>
  </w:style>
  <w:style w:type="table" w:styleId="TableGrid">
    <w:name w:val="Table Grid"/>
    <w:basedOn w:val="TableNormal"/>
    <w:rsid w:val="0049789D"/>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autoRedefine/>
    <w:rsid w:val="0049789D"/>
    <w:pPr>
      <w:spacing w:after="0"/>
      <w:jc w:val="left"/>
    </w:pPr>
  </w:style>
  <w:style w:type="paragraph" w:styleId="BodyText">
    <w:name w:val="Body Text"/>
    <w:basedOn w:val="Normal"/>
    <w:autoRedefine/>
    <w:rsid w:val="00AF52B7"/>
    <w:pPr>
      <w:numPr>
        <w:numId w:val="17"/>
      </w:numPr>
      <w:spacing w:line="280" w:lineRule="atLeast"/>
    </w:pPr>
    <w:rPr>
      <w:lang w:val="en-AU"/>
    </w:rPr>
  </w:style>
  <w:style w:type="paragraph" w:styleId="Header">
    <w:name w:val="header"/>
    <w:basedOn w:val="Normal"/>
    <w:rsid w:val="0049789D"/>
    <w:pPr>
      <w:tabs>
        <w:tab w:val="center" w:pos="4320"/>
        <w:tab w:val="right" w:pos="8640"/>
      </w:tabs>
    </w:pPr>
  </w:style>
  <w:style w:type="paragraph" w:styleId="Footer">
    <w:name w:val="footer"/>
    <w:basedOn w:val="Normal"/>
    <w:rsid w:val="0049789D"/>
    <w:pPr>
      <w:tabs>
        <w:tab w:val="center" w:pos="4320"/>
        <w:tab w:val="right" w:pos="8640"/>
      </w:tabs>
    </w:pPr>
  </w:style>
  <w:style w:type="character" w:customStyle="1" w:styleId="Heading1Char">
    <w:name w:val="Heading 1 Char"/>
    <w:link w:val="Heading1"/>
    <w:rsid w:val="0011657A"/>
    <w:rPr>
      <w:rFonts w:ascii="Arial" w:hAnsi="Arial" w:cs="Arial"/>
      <w:b/>
      <w:bCs/>
      <w:color w:val="1F497D"/>
      <w:kern w:val="32"/>
      <w:sz w:val="32"/>
      <w:szCs w:val="32"/>
      <w:lang w:eastAsia="en-US"/>
    </w:rPr>
  </w:style>
  <w:style w:type="character" w:styleId="Hyperlink">
    <w:name w:val="Hyperlink"/>
    <w:rsid w:val="00531531"/>
    <w:rPr>
      <w:color w:val="0000FF"/>
      <w:u w:val="single"/>
    </w:rPr>
  </w:style>
  <w:style w:type="character" w:styleId="FollowedHyperlink">
    <w:name w:val="FollowedHyperlink"/>
    <w:rsid w:val="00531531"/>
    <w:rPr>
      <w:color w:val="954F72"/>
      <w:u w:val="single"/>
    </w:rPr>
  </w:style>
  <w:style w:type="paragraph" w:customStyle="1" w:styleId="BodyTextNumbered">
    <w:name w:val="Body Text Numbered"/>
    <w:basedOn w:val="BodyText"/>
    <w:autoRedefine/>
    <w:qFormat/>
    <w:rsid w:val="00067A63"/>
    <w:pPr>
      <w:numPr>
        <w:numId w:val="2"/>
      </w:numPr>
    </w:pPr>
  </w:style>
  <w:style w:type="paragraph" w:customStyle="1" w:styleId="BodytextBulleted">
    <w:name w:val="Body text Bulleted"/>
    <w:basedOn w:val="BodyText"/>
    <w:autoRedefine/>
    <w:qFormat/>
    <w:rsid w:val="005D4AF5"/>
    <w:pPr>
      <w:numPr>
        <w:numId w:val="5"/>
      </w:numPr>
    </w:pPr>
  </w:style>
  <w:style w:type="paragraph" w:customStyle="1" w:styleId="paragraph">
    <w:name w:val="paragraph"/>
    <w:aliases w:val="a,indent(a)"/>
    <w:basedOn w:val="Normal"/>
    <w:link w:val="paragraphChar"/>
    <w:rsid w:val="00692ED0"/>
    <w:pPr>
      <w:keepLines w:val="0"/>
      <w:tabs>
        <w:tab w:val="right" w:pos="1531"/>
      </w:tabs>
      <w:spacing w:before="40" w:after="0"/>
      <w:ind w:left="1644" w:hanging="1644"/>
      <w:jc w:val="left"/>
    </w:pPr>
    <w:rPr>
      <w:rFonts w:ascii="Times New Roman" w:hAnsi="Times New Roman"/>
      <w:lang w:val="en-AU" w:eastAsia="en-AU"/>
    </w:rPr>
  </w:style>
  <w:style w:type="character" w:customStyle="1" w:styleId="Heading2Char">
    <w:name w:val="Heading 2 Char"/>
    <w:link w:val="Heading2"/>
    <w:semiHidden/>
    <w:rsid w:val="00E403DE"/>
    <w:rPr>
      <w:rFonts w:ascii="Calibri Light" w:eastAsia="Times New Roman" w:hAnsi="Calibri Light" w:cs="Times New Roman"/>
      <w:b/>
      <w:bCs/>
      <w:i/>
      <w:iCs/>
      <w:sz w:val="28"/>
      <w:szCs w:val="28"/>
      <w:lang w:val="en-US" w:eastAsia="en-US"/>
    </w:rPr>
  </w:style>
  <w:style w:type="character" w:styleId="UnresolvedMention">
    <w:name w:val="Unresolved Mention"/>
    <w:basedOn w:val="DefaultParagraphFont"/>
    <w:uiPriority w:val="99"/>
    <w:semiHidden/>
    <w:unhideWhenUsed/>
    <w:rsid w:val="008F7149"/>
    <w:rPr>
      <w:color w:val="605E5C"/>
      <w:shd w:val="clear" w:color="auto" w:fill="E1DFDD"/>
    </w:rPr>
  </w:style>
  <w:style w:type="paragraph" w:styleId="ListParagraph">
    <w:name w:val="List Paragraph"/>
    <w:basedOn w:val="Normal"/>
    <w:uiPriority w:val="34"/>
    <w:qFormat/>
    <w:rsid w:val="00B31179"/>
    <w:pPr>
      <w:ind w:left="720"/>
    </w:pPr>
  </w:style>
  <w:style w:type="character" w:customStyle="1" w:styleId="paragraphChar">
    <w:name w:val="paragraph Char"/>
    <w:aliases w:val="a Char"/>
    <w:link w:val="paragraph"/>
    <w:rsid w:val="0088456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Informed Consent Briefing Note</vt:lpstr>
    </vt:vector>
  </TitlesOfParts>
  <Company>MSM Compliance Services P/L</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Briefing Note</dc:title>
  <dc:subject/>
  <dc:creator>MSM Compliance Services P/L</dc:creator>
  <cp:keywords/>
  <dc:description>210526 Created document</dc:description>
  <cp:lastModifiedBy>MSM Compliance Services P/L</cp:lastModifiedBy>
  <cp:revision>2</cp:revision>
  <cp:lastPrinted>2026-05-21T00:10:00Z</cp:lastPrinted>
  <dcterms:created xsi:type="dcterms:W3CDTF">2026-05-21T01:25:00Z</dcterms:created>
  <dcterms:modified xsi:type="dcterms:W3CDTF">2026-05-21T01:25:00Z</dcterms:modified>
</cp:coreProperties>
</file>