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777EB" w14:textId="360A8C05" w:rsidR="006C20B1" w:rsidRPr="005113C9" w:rsidRDefault="006C20B1" w:rsidP="005113C9">
      <w:pPr>
        <w:pStyle w:val="Heading1"/>
        <w:rPr>
          <w:rFonts w:ascii="Arial" w:hAnsi="Arial" w:cs="Arial"/>
        </w:rPr>
      </w:pPr>
      <w:r w:rsidRPr="005113C9">
        <w:rPr>
          <w:rFonts w:ascii="Arial" w:hAnsi="Arial" w:cs="Arial"/>
        </w:rPr>
        <w:t>Terms of Engagement</w:t>
      </w:r>
    </w:p>
    <w:p w14:paraId="03A888ED" w14:textId="39D28204" w:rsidR="00B37A11" w:rsidRDefault="00B37A11" w:rsidP="005113C9">
      <w:pPr>
        <w:pStyle w:val="BodyText"/>
      </w:pPr>
      <w:r>
        <w:t xml:space="preserve">Set out below are details of the various services and conditions that apply in relation to the attached </w:t>
      </w:r>
      <w:r w:rsidR="006C20B1" w:rsidRPr="005113C9">
        <w:t>invoice</w:t>
      </w:r>
      <w:r>
        <w:t xml:space="preserve">(s) or </w:t>
      </w:r>
      <w:r w:rsidR="00FC7843" w:rsidRPr="005113C9">
        <w:t>quotation</w:t>
      </w:r>
      <w:r>
        <w:t>(s).</w:t>
      </w:r>
    </w:p>
    <w:p w14:paraId="571489EB" w14:textId="77777777" w:rsidR="006C20B1" w:rsidRPr="005113C9" w:rsidRDefault="006C20B1" w:rsidP="008C329B">
      <w:pPr>
        <w:pStyle w:val="Heading2"/>
      </w:pPr>
      <w:r w:rsidRPr="005113C9">
        <w:t>Our Services</w:t>
      </w:r>
    </w:p>
    <w:p w14:paraId="49FBDE9A" w14:textId="562C9EB9" w:rsidR="006C20B1" w:rsidRPr="005113C9" w:rsidRDefault="00B37A11" w:rsidP="005113C9">
      <w:pPr>
        <w:pStyle w:val="BodyText"/>
      </w:pPr>
      <w:r>
        <w:t>W</w:t>
      </w:r>
      <w:r w:rsidRPr="005113C9">
        <w:t>e will act on your behalf as an insurance broker</w:t>
      </w:r>
      <w:r>
        <w:t xml:space="preserve"> except where we are acting on behalf of the insurer under a Binder arrangement. If we are acting under a Binder this will be clearly noted on the invoice(s) or quotation(s)</w:t>
      </w:r>
      <w:r w:rsidRPr="005113C9">
        <w:t>.</w:t>
      </w:r>
      <w:r>
        <w:t xml:space="preserve">  </w:t>
      </w:r>
      <w:r w:rsidR="006C20B1" w:rsidRPr="005113C9">
        <w:t xml:space="preserve">As your insurance broker, we </w:t>
      </w:r>
      <w:r w:rsidR="00525B13" w:rsidRPr="005113C9">
        <w:t xml:space="preserve">will </w:t>
      </w:r>
      <w:r w:rsidR="00D5525C" w:rsidRPr="005113C9">
        <w:t xml:space="preserve">provide </w:t>
      </w:r>
      <w:r w:rsidR="00163A48">
        <w:t xml:space="preserve">or have provided </w:t>
      </w:r>
      <w:r w:rsidR="00D5525C" w:rsidRPr="005113C9">
        <w:t xml:space="preserve">the </w:t>
      </w:r>
      <w:r w:rsidR="006C20B1" w:rsidRPr="005113C9">
        <w:t>following services</w:t>
      </w:r>
      <w:r w:rsidR="000A42C1">
        <w:t>:</w:t>
      </w:r>
    </w:p>
    <w:p w14:paraId="48423285" w14:textId="3C3C5B32" w:rsidR="006C20B1" w:rsidRDefault="006C20B1" w:rsidP="00464327">
      <w:pPr>
        <w:pStyle w:val="ListBullet"/>
      </w:pPr>
      <w:r>
        <w:t>Seek insurance quotes</w:t>
      </w:r>
      <w:r w:rsidR="00525B13">
        <w:t xml:space="preserve"> from the insurance providers that we have arrangements with.</w:t>
      </w:r>
      <w:r w:rsidR="004E49EA">
        <w:t xml:space="preserve"> Please note this may not be applicable where we are acting under a Binder.</w:t>
      </w:r>
    </w:p>
    <w:p w14:paraId="6B122AF7" w14:textId="4483279F" w:rsidR="00D5525C" w:rsidRDefault="006C20B1" w:rsidP="00464327">
      <w:pPr>
        <w:pStyle w:val="ListBullet"/>
      </w:pPr>
      <w:r>
        <w:t xml:space="preserve">Negotiate policy coverage and renewal annually or as otherwise agreed </w:t>
      </w:r>
      <w:r w:rsidR="00525B13">
        <w:t>between us.</w:t>
      </w:r>
    </w:p>
    <w:p w14:paraId="3A8F1139" w14:textId="337DF96D" w:rsidR="006C20B1" w:rsidRPr="00D5525C" w:rsidRDefault="00525B13" w:rsidP="00464327">
      <w:pPr>
        <w:pStyle w:val="ListBullet"/>
      </w:pPr>
      <w:r>
        <w:t xml:space="preserve">Arrange </w:t>
      </w:r>
      <w:r w:rsidR="006C20B1" w:rsidRPr="00D5525C">
        <w:t>coverage where you have authorised us to do so</w:t>
      </w:r>
      <w:r w:rsidR="00163A48">
        <w:t xml:space="preserve">. </w:t>
      </w:r>
      <w:r w:rsidR="006C20B1" w:rsidRPr="00D5525C">
        <w:t xml:space="preserve"> </w:t>
      </w:r>
      <w:r w:rsidR="00163A48">
        <w:t>In addition</w:t>
      </w:r>
      <w:r w:rsidR="00791647">
        <w:t>,</w:t>
      </w:r>
      <w:r w:rsidR="00163A48">
        <w:t xml:space="preserve"> we will arrange the renewal of policies without your instructions where we </w:t>
      </w:r>
      <w:r w:rsidR="006C20B1" w:rsidRPr="00D5525C">
        <w:t xml:space="preserve">consider that </w:t>
      </w:r>
      <w:r w:rsidR="00791647">
        <w:t xml:space="preserve">it </w:t>
      </w:r>
      <w:r w:rsidR="006C20B1" w:rsidRPr="00D5525C">
        <w:t>is in your best interests</w:t>
      </w:r>
      <w:r w:rsidR="00791647">
        <w:t xml:space="preserve"> to do so</w:t>
      </w:r>
      <w:r w:rsidR="004E49EA">
        <w:t>.</w:t>
      </w:r>
    </w:p>
    <w:p w14:paraId="1D9495BF" w14:textId="147EAFDC" w:rsidR="006C20B1" w:rsidRDefault="008C329B" w:rsidP="00464327">
      <w:pPr>
        <w:pStyle w:val="ListBullet"/>
      </w:pPr>
      <w:r>
        <w:t>Where we consider that Premium Funding may be an attractive option for you we will obtain and provide this option to you</w:t>
      </w:r>
      <w:r w:rsidR="000A42C1">
        <w:t xml:space="preserve"> at the time we provide you with invoices/quotations.</w:t>
      </w:r>
      <w:r>
        <w:t xml:space="preserve">  You can also request us to obtain and provide a Premium Funding quotation in those cases where we have not provided this to you.</w:t>
      </w:r>
    </w:p>
    <w:p w14:paraId="3ADEFEB1" w14:textId="5C5D7BC0" w:rsidR="006C20B1" w:rsidRPr="00D5525C" w:rsidRDefault="008C329B" w:rsidP="00464327">
      <w:pPr>
        <w:pStyle w:val="ListBullet"/>
      </w:pPr>
      <w:r>
        <w:t>Assist you to p</w:t>
      </w:r>
      <w:r w:rsidR="006C20B1" w:rsidRPr="00D5525C">
        <w:t xml:space="preserve">repare and manage claims </w:t>
      </w:r>
      <w:r w:rsidR="00D5525C" w:rsidRPr="00D5525C">
        <w:t>under policies we have arranged for you</w:t>
      </w:r>
      <w:r w:rsidR="00D5525C">
        <w:t xml:space="preserve"> and a</w:t>
      </w:r>
      <w:r w:rsidR="006C20B1" w:rsidRPr="00D5525C">
        <w:t>dvocate on your behalf during the claims process</w:t>
      </w:r>
      <w:r w:rsidR="00D5525C">
        <w:t>.</w:t>
      </w:r>
    </w:p>
    <w:p w14:paraId="17DD92A9" w14:textId="227D4962" w:rsidR="006C20B1" w:rsidRDefault="006C20B1" w:rsidP="00464327">
      <w:pPr>
        <w:pStyle w:val="ListBullet"/>
      </w:pPr>
      <w:r>
        <w:t>Facilitate policy changes and/or cancellations as per your instructions</w:t>
      </w:r>
      <w:r w:rsidR="004B23F0">
        <w:t>.</w:t>
      </w:r>
    </w:p>
    <w:p w14:paraId="57AA47FA" w14:textId="55588593" w:rsidR="00D5525C" w:rsidRDefault="005113C9" w:rsidP="005113C9">
      <w:pPr>
        <w:pStyle w:val="BodyText"/>
      </w:pPr>
      <w:r>
        <w:t>Please note that w</w:t>
      </w:r>
      <w:r w:rsidR="00D5525C">
        <w:t>e have formal arrangements with most of the insurers and underwriters that deal with insurance brokers.  This assists us to find competitive price and coverage options for you.</w:t>
      </w:r>
      <w:r>
        <w:t xml:space="preserve">  Some insurers and underwriters only deal direct with client</w:t>
      </w:r>
      <w:r w:rsidR="004E49EA">
        <w:t>s</w:t>
      </w:r>
      <w:r>
        <w:t xml:space="preserve"> and therefore we are unable to access quotes or arrange insurance with these providers.  We can provide you with a list of the insurance providers we deal with upon request.</w:t>
      </w:r>
    </w:p>
    <w:p w14:paraId="12A88BE1" w14:textId="02D6868B" w:rsidR="00D5525C" w:rsidRDefault="00D5525C" w:rsidP="005113C9">
      <w:pPr>
        <w:pStyle w:val="BodyText"/>
      </w:pPr>
      <w:r>
        <w:t xml:space="preserve">Based on our professional judgement and knowledge of the market, we may seek </w:t>
      </w:r>
      <w:r w:rsidR="006C20B1">
        <w:t>quotes from</w:t>
      </w:r>
      <w:r>
        <w:t xml:space="preserve"> multiple insurance providers </w:t>
      </w:r>
      <w:r w:rsidR="006C20B1">
        <w:t xml:space="preserve">before making a recommendation. </w:t>
      </w:r>
      <w:r w:rsidR="00525B13">
        <w:t xml:space="preserve"> In other cases</w:t>
      </w:r>
      <w:r w:rsidR="00791647">
        <w:t>,</w:t>
      </w:r>
      <w:r w:rsidR="00525B13">
        <w:t xml:space="preserve"> we may assess that your current insurance provider’s offering is more than competitive and there is no need to seek alternative terms.</w:t>
      </w:r>
    </w:p>
    <w:p w14:paraId="65A5E1E0" w14:textId="2A8C34F2" w:rsidR="00525B13" w:rsidRDefault="00C921EC" w:rsidP="005B2FEF">
      <w:pPr>
        <w:pStyle w:val="BodyText"/>
      </w:pPr>
      <w:r>
        <w:t xml:space="preserve">Where requested we can </w:t>
      </w:r>
      <w:r w:rsidR="005B2FEF">
        <w:t>h</w:t>
      </w:r>
      <w:r w:rsidR="00525B13">
        <w:t xml:space="preserve">elp you identify and assess your risks and </w:t>
      </w:r>
      <w:r>
        <w:t>recommend insurance options that specifically address such risks</w:t>
      </w:r>
      <w:r w:rsidR="005B2FEF">
        <w:t xml:space="preserve"> and also p</w:t>
      </w:r>
      <w:r w:rsidR="00525B13">
        <w:t>rovide advice on risk mitigation and management strategies</w:t>
      </w:r>
      <w:r w:rsidR="000A42C1">
        <w:t>.</w:t>
      </w:r>
      <w:r w:rsidR="005B2FEF">
        <w:t xml:space="preserve">  Additional fees may apply for these services.</w:t>
      </w:r>
    </w:p>
    <w:p w14:paraId="1776AC11" w14:textId="26EA5F68" w:rsidR="006C20B1" w:rsidRDefault="006C20B1" w:rsidP="008C329B">
      <w:pPr>
        <w:pStyle w:val="Heading2"/>
      </w:pPr>
      <w:r>
        <w:lastRenderedPageBreak/>
        <w:t>Policy Cancellation</w:t>
      </w:r>
    </w:p>
    <w:p w14:paraId="3EB3CAA3" w14:textId="676CAB6F" w:rsidR="006C20B1" w:rsidRDefault="006C20B1" w:rsidP="000A42C1">
      <w:pPr>
        <w:pStyle w:val="BodyText"/>
      </w:pPr>
      <w:r>
        <w:t xml:space="preserve">If a cover is cancelled before the expiry of the period of insurance, we reserve the right to refund to you only the net return premium we receive from the </w:t>
      </w:r>
      <w:r w:rsidR="004B23F0">
        <w:t>underwriter</w:t>
      </w:r>
      <w:r>
        <w:t xml:space="preserve"> and not refund any part of the brokerage and/or broker fee we receive for arranging the cover. A broker fee may be charged to process the cancellation.</w:t>
      </w:r>
    </w:p>
    <w:p w14:paraId="78CCC9EB" w14:textId="77777777" w:rsidR="004B23F0" w:rsidRDefault="004B23F0" w:rsidP="004B23F0">
      <w:pPr>
        <w:pStyle w:val="Heading2"/>
      </w:pPr>
      <w:r>
        <w:t>Retail Clients</w:t>
      </w:r>
    </w:p>
    <w:p w14:paraId="3AC78966" w14:textId="77777777" w:rsidR="004B23F0" w:rsidRPr="004B23F0" w:rsidRDefault="004B23F0" w:rsidP="004B23F0">
      <w:pPr>
        <w:pStyle w:val="BodyText"/>
      </w:pPr>
      <w:r w:rsidRPr="004B23F0">
        <w:t>Under the Corporations Act, Retail Clients are broadly defined as: Individuals, manufacturing business employing less than 100 people or any other business employing less than 20 people and that are purchasing insurance coverage for motor vehicles, home building, contents, personal and domestic, sickness/accident/travel, consumer credit and other classes as prescribed by regulations</w:t>
      </w:r>
    </w:p>
    <w:p w14:paraId="0C8E066B" w14:textId="3DF0D13A" w:rsidR="006C20B1" w:rsidRDefault="006C20B1" w:rsidP="004B23F0">
      <w:pPr>
        <w:pStyle w:val="Heading2"/>
      </w:pPr>
      <w:r>
        <w:t xml:space="preserve">Our </w:t>
      </w:r>
      <w:r w:rsidR="008C329B">
        <w:t>A</w:t>
      </w:r>
      <w:r>
        <w:t xml:space="preserve">dvice </w:t>
      </w:r>
      <w:r w:rsidR="00D551A6">
        <w:t>T</w:t>
      </w:r>
      <w:r>
        <w:t xml:space="preserve">o </w:t>
      </w:r>
      <w:r w:rsidR="004B23F0">
        <w:t>Retail Clients</w:t>
      </w:r>
    </w:p>
    <w:p w14:paraId="0DD12A73" w14:textId="5B30EF48" w:rsidR="006C20B1" w:rsidRDefault="006C20B1" w:rsidP="008C329B">
      <w:pPr>
        <w:pStyle w:val="BodyText"/>
      </w:pPr>
      <w:r>
        <w:t xml:space="preserve">When making a recommendation, we will </w:t>
      </w:r>
      <w:r w:rsidR="004B23F0">
        <w:t xml:space="preserve">typically </w:t>
      </w:r>
      <w:r>
        <w:t xml:space="preserve">not take into consideration your personal objectives, financial situation or needs. Before taking any action, you should consider whether the advice we have provided is appropriate to you having regard to your individual circumstances. </w:t>
      </w:r>
      <w:r w:rsidR="005113C9">
        <w:t xml:space="preserve">Retail </w:t>
      </w:r>
      <w:r>
        <w:t xml:space="preserve">Clients should obtain and read the relevant </w:t>
      </w:r>
      <w:r w:rsidR="004B23F0">
        <w:t>P</w:t>
      </w:r>
      <w:r>
        <w:t xml:space="preserve">roduct </w:t>
      </w:r>
      <w:r w:rsidR="004B23F0">
        <w:t>D</w:t>
      </w:r>
      <w:r>
        <w:t xml:space="preserve">isclosure </w:t>
      </w:r>
      <w:r w:rsidR="004B23F0">
        <w:t>S</w:t>
      </w:r>
      <w:r>
        <w:t>tatements before making a decision.</w:t>
      </w:r>
    </w:p>
    <w:p w14:paraId="2C5633BA" w14:textId="77777777" w:rsidR="006C20B1" w:rsidRDefault="006C20B1" w:rsidP="008C329B">
      <w:pPr>
        <w:pStyle w:val="Heading2"/>
      </w:pPr>
      <w:r>
        <w:t>Period of Engagement</w:t>
      </w:r>
    </w:p>
    <w:p w14:paraId="020B3805" w14:textId="79C574E5" w:rsidR="006C20B1" w:rsidRDefault="006C20B1" w:rsidP="00C31303">
      <w:pPr>
        <w:pStyle w:val="BodyText"/>
      </w:pPr>
      <w:r>
        <w:t xml:space="preserve">Unless we agree otherwise, our appointment </w:t>
      </w:r>
      <w:r w:rsidR="00525B13">
        <w:t>in regard to this insu</w:t>
      </w:r>
      <w:r w:rsidR="005113C9">
        <w:t xml:space="preserve">rance </w:t>
      </w:r>
      <w:r>
        <w:t xml:space="preserve">is for </w:t>
      </w:r>
      <w:r w:rsidR="00525B13">
        <w:t>the period of insurance set out in th</w:t>
      </w:r>
      <w:r w:rsidR="000A42C1">
        <w:t>e</w:t>
      </w:r>
      <w:r w:rsidR="00525B13">
        <w:t xml:space="preserve"> invoice</w:t>
      </w:r>
      <w:r w:rsidR="000A42C1">
        <w:t xml:space="preserve">s </w:t>
      </w:r>
      <w:r w:rsidR="00525B13">
        <w:t>/</w:t>
      </w:r>
      <w:r w:rsidR="000A42C1">
        <w:t xml:space="preserve"> </w:t>
      </w:r>
      <w:r w:rsidR="00525B13">
        <w:t>quotation</w:t>
      </w:r>
      <w:r w:rsidR="000A42C1">
        <w:t>s</w:t>
      </w:r>
      <w:r w:rsidR="008A0E82">
        <w:t xml:space="preserve"> attached</w:t>
      </w:r>
      <w:r w:rsidR="005113C9">
        <w:t>.</w:t>
      </w:r>
      <w:r>
        <w:t xml:space="preserve"> This appointment may be cancelled by </w:t>
      </w:r>
      <w:r w:rsidR="005113C9">
        <w:t>you at any time.</w:t>
      </w:r>
    </w:p>
    <w:p w14:paraId="4B385DE6" w14:textId="3AD9E488" w:rsidR="000A42C1" w:rsidRDefault="000A42C1" w:rsidP="000A42C1">
      <w:pPr>
        <w:pStyle w:val="Heading2"/>
      </w:pPr>
      <w:r>
        <w:t>Insurance Brokers Code of Practice</w:t>
      </w:r>
      <w:r w:rsidR="00233DF0">
        <w:t xml:space="preserve"> (The Code)</w:t>
      </w:r>
    </w:p>
    <w:p w14:paraId="04ECBE30" w14:textId="2FEA7DF7" w:rsidR="000A42C1" w:rsidRDefault="000A42C1" w:rsidP="00C31303">
      <w:pPr>
        <w:pStyle w:val="BodyText"/>
      </w:pPr>
      <w:r>
        <w:t>We are bound by the Insurance Brokers Code of Practice</w:t>
      </w:r>
      <w:r w:rsidR="00233DF0">
        <w:t>.</w:t>
      </w:r>
      <w:r>
        <w:t xml:space="preserve">  You can ask us for a copy of the Code or you can access it from National Insurance Brokers website - www.niba.com.au.</w:t>
      </w:r>
    </w:p>
    <w:p w14:paraId="329C95FB" w14:textId="6B145D27" w:rsidR="00B02CAE" w:rsidRDefault="00B02CAE" w:rsidP="00D551A6">
      <w:pPr>
        <w:pStyle w:val="Heading2"/>
      </w:pPr>
      <w:r>
        <w:t>Our Remuneration</w:t>
      </w:r>
    </w:p>
    <w:p w14:paraId="11F6D90E" w14:textId="4A83AA8E" w:rsidR="000C1E36" w:rsidRDefault="000C1E36" w:rsidP="00464327">
      <w:pPr>
        <w:pStyle w:val="BodyText"/>
      </w:pPr>
      <w:r>
        <w:t xml:space="preserve">The underwriter will pay us a </w:t>
      </w:r>
      <w:r w:rsidR="00B02CAE">
        <w:t xml:space="preserve">commission </w:t>
      </w:r>
      <w:r>
        <w:t xml:space="preserve">for arranging the insurance with them.  </w:t>
      </w:r>
      <w:r w:rsidR="00233DF0">
        <w:t xml:space="preserve">Where the Code requires us to disclose the dollar value of commission we will receive, such commission </w:t>
      </w:r>
      <w:r>
        <w:t xml:space="preserve">is shown on the attached Invoice(s) or </w:t>
      </w:r>
      <w:r w:rsidR="00EF3691">
        <w:t>Q</w:t>
      </w:r>
      <w:r>
        <w:t>uotations(s).</w:t>
      </w:r>
    </w:p>
    <w:p w14:paraId="07469802" w14:textId="4D248EF4" w:rsidR="00B02CAE" w:rsidRDefault="000C1E36" w:rsidP="00464327">
      <w:pPr>
        <w:pStyle w:val="BodyText"/>
      </w:pPr>
      <w:r>
        <w:t>We may also charge fees for the services we provide</w:t>
      </w:r>
      <w:r w:rsidR="004B23F0">
        <w:t xml:space="preserve"> which are payable by you</w:t>
      </w:r>
      <w:r>
        <w:t xml:space="preserve">.  Any such </w:t>
      </w:r>
      <w:r w:rsidR="00B02CAE">
        <w:t>fee</w:t>
      </w:r>
      <w:r w:rsidR="004B23F0">
        <w:t>s are</w:t>
      </w:r>
      <w:r>
        <w:t xml:space="preserve"> </w:t>
      </w:r>
      <w:r w:rsidR="00B07418">
        <w:t xml:space="preserve">shown on </w:t>
      </w:r>
      <w:r>
        <w:t xml:space="preserve">attached Invoice(s) or </w:t>
      </w:r>
      <w:r w:rsidR="00EF3691">
        <w:t>Q</w:t>
      </w:r>
      <w:r>
        <w:t>uotations(s)</w:t>
      </w:r>
      <w:r w:rsidR="004B23F0">
        <w:t>.</w:t>
      </w:r>
    </w:p>
    <w:p w14:paraId="6A894B1E" w14:textId="7163C726" w:rsidR="004B23F0" w:rsidRPr="00B02CAE" w:rsidRDefault="004B23F0" w:rsidP="00464327">
      <w:pPr>
        <w:pStyle w:val="BodyText"/>
      </w:pPr>
      <w:r>
        <w:t>Further information on our Remuneration is set out in our Financial Services Guide which has been made available to you.</w:t>
      </w:r>
    </w:p>
    <w:p w14:paraId="6D65899E" w14:textId="5814D783" w:rsidR="00D551A6" w:rsidRDefault="00D551A6" w:rsidP="00D551A6">
      <w:pPr>
        <w:pStyle w:val="Heading2"/>
      </w:pPr>
      <w:r>
        <w:t>Notification of Changes</w:t>
      </w:r>
    </w:p>
    <w:p w14:paraId="71254BE3" w14:textId="0452892F" w:rsidR="00073089" w:rsidRDefault="006C20B1" w:rsidP="00C31303">
      <w:pPr>
        <w:pStyle w:val="BodyText"/>
      </w:pPr>
      <w:r>
        <w:t>We will notify you of any changes to t</w:t>
      </w:r>
      <w:r w:rsidR="000A42C1">
        <w:t>hese t</w:t>
      </w:r>
      <w:r>
        <w:t xml:space="preserve">erms of </w:t>
      </w:r>
      <w:r w:rsidR="000A42C1">
        <w:t xml:space="preserve">engagement </w:t>
      </w:r>
      <w:r>
        <w:t>or services provided.</w:t>
      </w:r>
    </w:p>
    <w:sectPr w:rsidR="00073089" w:rsidSect="00163A48">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A16BB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E42F0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8EDA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AE21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880B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360D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6EA3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C68D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28F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5AB5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441A0C"/>
    <w:multiLevelType w:val="hybridMultilevel"/>
    <w:tmpl w:val="BC4886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5F3C49"/>
    <w:multiLevelType w:val="hybridMultilevel"/>
    <w:tmpl w:val="BC4886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FC4834"/>
    <w:multiLevelType w:val="hybridMultilevel"/>
    <w:tmpl w:val="FDF41D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18480361">
    <w:abstractNumId w:val="12"/>
  </w:num>
  <w:num w:numId="2" w16cid:durableId="1991521118">
    <w:abstractNumId w:val="10"/>
  </w:num>
  <w:num w:numId="3" w16cid:durableId="1894347069">
    <w:abstractNumId w:val="11"/>
  </w:num>
  <w:num w:numId="4" w16cid:durableId="2119251312">
    <w:abstractNumId w:val="9"/>
  </w:num>
  <w:num w:numId="5" w16cid:durableId="254021706">
    <w:abstractNumId w:val="7"/>
  </w:num>
  <w:num w:numId="6" w16cid:durableId="1198159442">
    <w:abstractNumId w:val="6"/>
  </w:num>
  <w:num w:numId="7" w16cid:durableId="710688542">
    <w:abstractNumId w:val="5"/>
  </w:num>
  <w:num w:numId="8" w16cid:durableId="1922061489">
    <w:abstractNumId w:val="4"/>
  </w:num>
  <w:num w:numId="9" w16cid:durableId="1313875461">
    <w:abstractNumId w:val="8"/>
  </w:num>
  <w:num w:numId="10" w16cid:durableId="501314753">
    <w:abstractNumId w:val="3"/>
  </w:num>
  <w:num w:numId="11" w16cid:durableId="1859660446">
    <w:abstractNumId w:val="2"/>
  </w:num>
  <w:num w:numId="12" w16cid:durableId="461506621">
    <w:abstractNumId w:val="1"/>
  </w:num>
  <w:num w:numId="13" w16cid:durableId="819882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0B1"/>
    <w:rsid w:val="00073089"/>
    <w:rsid w:val="000A42C1"/>
    <w:rsid w:val="000C1E36"/>
    <w:rsid w:val="00163A48"/>
    <w:rsid w:val="00233DF0"/>
    <w:rsid w:val="0029397E"/>
    <w:rsid w:val="002E67B6"/>
    <w:rsid w:val="00302441"/>
    <w:rsid w:val="004216C9"/>
    <w:rsid w:val="00464327"/>
    <w:rsid w:val="004B23F0"/>
    <w:rsid w:val="004E49EA"/>
    <w:rsid w:val="005113C9"/>
    <w:rsid w:val="00525B13"/>
    <w:rsid w:val="00556AC5"/>
    <w:rsid w:val="005B2FEF"/>
    <w:rsid w:val="005B3764"/>
    <w:rsid w:val="00620FD6"/>
    <w:rsid w:val="0062371D"/>
    <w:rsid w:val="00653421"/>
    <w:rsid w:val="006B35EF"/>
    <w:rsid w:val="006C20B1"/>
    <w:rsid w:val="006E147E"/>
    <w:rsid w:val="006F2220"/>
    <w:rsid w:val="00791647"/>
    <w:rsid w:val="007A04A2"/>
    <w:rsid w:val="00802FBE"/>
    <w:rsid w:val="00833177"/>
    <w:rsid w:val="008520BC"/>
    <w:rsid w:val="008A0E82"/>
    <w:rsid w:val="008C07A2"/>
    <w:rsid w:val="008C329B"/>
    <w:rsid w:val="008C40EF"/>
    <w:rsid w:val="008E7DAC"/>
    <w:rsid w:val="00913859"/>
    <w:rsid w:val="00A2530B"/>
    <w:rsid w:val="00A41E1C"/>
    <w:rsid w:val="00A93A17"/>
    <w:rsid w:val="00B02CAE"/>
    <w:rsid w:val="00B07418"/>
    <w:rsid w:val="00B37A11"/>
    <w:rsid w:val="00B41D67"/>
    <w:rsid w:val="00B764A5"/>
    <w:rsid w:val="00BB5A2E"/>
    <w:rsid w:val="00BD3AAA"/>
    <w:rsid w:val="00BD40A8"/>
    <w:rsid w:val="00BD543D"/>
    <w:rsid w:val="00C31303"/>
    <w:rsid w:val="00C921EC"/>
    <w:rsid w:val="00D551A6"/>
    <w:rsid w:val="00D5525C"/>
    <w:rsid w:val="00DD4F45"/>
    <w:rsid w:val="00E40844"/>
    <w:rsid w:val="00E6144F"/>
    <w:rsid w:val="00EF3691"/>
    <w:rsid w:val="00F0709F"/>
    <w:rsid w:val="00FA250A"/>
    <w:rsid w:val="00FC60D0"/>
    <w:rsid w:val="00FC78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5CACE"/>
  <w15:chartTrackingRefBased/>
  <w15:docId w15:val="{1415CF43-AFD7-409E-8CBB-B73DF6453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3C9"/>
  </w:style>
  <w:style w:type="paragraph" w:styleId="Heading1">
    <w:name w:val="heading 1"/>
    <w:basedOn w:val="Normal"/>
    <w:next w:val="Normal"/>
    <w:link w:val="Heading1Char"/>
    <w:uiPriority w:val="9"/>
    <w:qFormat/>
    <w:rsid w:val="00464327"/>
    <w:pPr>
      <w:keepNext/>
      <w:keepLines/>
      <w:spacing w:before="24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8C329B"/>
    <w:pPr>
      <w:keepNext/>
      <w:keepLines/>
      <w:spacing w:before="120" w:after="120"/>
      <w:outlineLvl w:val="1"/>
    </w:pPr>
    <w:rPr>
      <w:rFonts w:ascii="Arial" w:eastAsiaTheme="majorEastAsia" w:hAnsi="Arial" w:cs="Arial"/>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20B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464327"/>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autoRedefine/>
    <w:uiPriority w:val="99"/>
    <w:unhideWhenUsed/>
    <w:rsid w:val="008C329B"/>
    <w:pPr>
      <w:spacing w:after="120" w:line="360" w:lineRule="auto"/>
      <w:jc w:val="both"/>
    </w:pPr>
    <w:rPr>
      <w:rFonts w:ascii="Arial" w:hAnsi="Arial" w:cs="Arial"/>
    </w:rPr>
  </w:style>
  <w:style w:type="character" w:customStyle="1" w:styleId="BodyTextChar">
    <w:name w:val="Body Text Char"/>
    <w:basedOn w:val="DefaultParagraphFont"/>
    <w:link w:val="BodyText"/>
    <w:uiPriority w:val="99"/>
    <w:rsid w:val="008C329B"/>
    <w:rPr>
      <w:rFonts w:ascii="Arial" w:hAnsi="Arial" w:cs="Arial"/>
    </w:rPr>
  </w:style>
  <w:style w:type="character" w:customStyle="1" w:styleId="Heading2Char">
    <w:name w:val="Heading 2 Char"/>
    <w:basedOn w:val="DefaultParagraphFont"/>
    <w:link w:val="Heading2"/>
    <w:uiPriority w:val="9"/>
    <w:rsid w:val="008C329B"/>
    <w:rPr>
      <w:rFonts w:ascii="Arial" w:eastAsiaTheme="majorEastAsia" w:hAnsi="Arial" w:cs="Arial"/>
      <w:color w:val="2F5496" w:themeColor="accent1" w:themeShade="BF"/>
      <w:sz w:val="26"/>
      <w:szCs w:val="26"/>
    </w:rPr>
  </w:style>
  <w:style w:type="paragraph" w:styleId="ListBullet">
    <w:name w:val="List Bullet"/>
    <w:basedOn w:val="BodyText"/>
    <w:autoRedefine/>
    <w:uiPriority w:val="99"/>
    <w:unhideWhenUsed/>
    <w:rsid w:val="00464327"/>
    <w:pPr>
      <w:numPr>
        <w:numId w:val="4"/>
      </w:numPr>
      <w:ind w:left="357" w:hanging="357"/>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34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1873</TotalTime>
  <Pages>2</Pages>
  <Words>692</Words>
  <Characters>3948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IBCOP Terms of Engagement</vt:lpstr>
    </vt:vector>
  </TitlesOfParts>
  <Company/>
  <LinksUpToDate>false</LinksUpToDate>
  <CharactersWithSpaces>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IBCOP Terms of Engagement</dc:title>
  <dc:subject/>
  <dc:creator>MSM Compliance Services P/L</dc:creator>
  <cp:keywords/>
  <dc:description>050923 Removed repeated words_x000d_
140823 Updated to refer to commission disclosure on Retail Client invoices._x000d_
200423 Included reference to fee being shown on invoices._x000d_
021122 Created Document</dc:description>
  <cp:lastModifiedBy>Ivan Handasyde</cp:lastModifiedBy>
  <cp:revision>12</cp:revision>
  <dcterms:created xsi:type="dcterms:W3CDTF">2022-10-24T22:49:00Z</dcterms:created>
  <dcterms:modified xsi:type="dcterms:W3CDTF">2023-09-04T18:28:00Z</dcterms:modified>
</cp:coreProperties>
</file>