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82F93" w14:textId="77777777" w:rsidR="002F6F4F" w:rsidRPr="00D062B6" w:rsidRDefault="00841A03">
      <w:pPr>
        <w:pStyle w:val="TOC1"/>
        <w:rPr>
          <w:rFonts w:ascii="Calibri" w:hAnsi="Calibri"/>
          <w:b w:val="0"/>
          <w:caps w:val="0"/>
          <w:noProof/>
          <w:sz w:val="22"/>
          <w:szCs w:val="22"/>
          <w:lang w:val="en-AU" w:eastAsia="en-AU"/>
        </w:rPr>
      </w:pPr>
      <w:r>
        <w:fldChar w:fldCharType="begin"/>
      </w:r>
      <w:r>
        <w:instrText xml:space="preserve"> TOC \o "1-3" </w:instrText>
      </w:r>
      <w:r>
        <w:fldChar w:fldCharType="separate"/>
      </w:r>
      <w:r w:rsidR="002F6F4F" w:rsidRPr="001A3627">
        <w:rPr>
          <w:noProof/>
        </w:rPr>
        <w:t>1.</w:t>
      </w:r>
      <w:r w:rsidR="002F6F4F" w:rsidRPr="00D062B6">
        <w:rPr>
          <w:rFonts w:ascii="Calibri" w:hAnsi="Calibri"/>
          <w:b w:val="0"/>
          <w:caps w:val="0"/>
          <w:noProof/>
          <w:sz w:val="22"/>
          <w:szCs w:val="22"/>
          <w:lang w:val="en-AU" w:eastAsia="en-AU"/>
        </w:rPr>
        <w:tab/>
      </w:r>
      <w:r w:rsidR="002F6F4F">
        <w:rPr>
          <w:noProof/>
        </w:rPr>
        <w:t>introduction</w:t>
      </w:r>
      <w:r w:rsidR="002F6F4F">
        <w:rPr>
          <w:noProof/>
        </w:rPr>
        <w:tab/>
      </w:r>
      <w:r w:rsidR="002F6F4F">
        <w:rPr>
          <w:noProof/>
        </w:rPr>
        <w:fldChar w:fldCharType="begin"/>
      </w:r>
      <w:r w:rsidR="002F6F4F">
        <w:rPr>
          <w:noProof/>
        </w:rPr>
        <w:instrText xml:space="preserve"> PAGEREF _Toc106600754 \h </w:instrText>
      </w:r>
      <w:r w:rsidR="002F6F4F">
        <w:rPr>
          <w:noProof/>
        </w:rPr>
      </w:r>
      <w:r w:rsidR="002F6F4F">
        <w:rPr>
          <w:noProof/>
        </w:rPr>
        <w:fldChar w:fldCharType="separate"/>
      </w:r>
      <w:r w:rsidR="002F6F4F">
        <w:rPr>
          <w:noProof/>
        </w:rPr>
        <w:t>1</w:t>
      </w:r>
      <w:r w:rsidR="002F6F4F">
        <w:rPr>
          <w:noProof/>
        </w:rPr>
        <w:fldChar w:fldCharType="end"/>
      </w:r>
    </w:p>
    <w:p w14:paraId="4265E88D" w14:textId="77777777" w:rsidR="002F6F4F" w:rsidRPr="00D062B6" w:rsidRDefault="002F6F4F">
      <w:pPr>
        <w:pStyle w:val="TOC1"/>
        <w:rPr>
          <w:rFonts w:ascii="Calibri" w:hAnsi="Calibri"/>
          <w:b w:val="0"/>
          <w:caps w:val="0"/>
          <w:noProof/>
          <w:sz w:val="22"/>
          <w:szCs w:val="22"/>
          <w:lang w:val="en-AU" w:eastAsia="en-AU"/>
        </w:rPr>
      </w:pPr>
      <w:r w:rsidRPr="001A3627">
        <w:rPr>
          <w:noProof/>
        </w:rPr>
        <w:t>2.</w:t>
      </w:r>
      <w:r w:rsidRPr="00D062B6">
        <w:rPr>
          <w:rFonts w:ascii="Calibri" w:hAnsi="Calibri"/>
          <w:b w:val="0"/>
          <w:caps w:val="0"/>
          <w:noProof/>
          <w:sz w:val="22"/>
          <w:szCs w:val="22"/>
          <w:lang w:val="en-AU" w:eastAsia="en-AU"/>
        </w:rPr>
        <w:tab/>
      </w:r>
      <w:r>
        <w:rPr>
          <w:noProof/>
        </w:rPr>
        <w:t>updates</w:t>
      </w:r>
      <w:r>
        <w:rPr>
          <w:noProof/>
        </w:rPr>
        <w:tab/>
      </w:r>
      <w:r>
        <w:rPr>
          <w:noProof/>
        </w:rPr>
        <w:fldChar w:fldCharType="begin"/>
      </w:r>
      <w:r>
        <w:rPr>
          <w:noProof/>
        </w:rPr>
        <w:instrText xml:space="preserve"> PAGEREF _Toc106600755 \h </w:instrText>
      </w:r>
      <w:r>
        <w:rPr>
          <w:noProof/>
        </w:rPr>
      </w:r>
      <w:r>
        <w:rPr>
          <w:noProof/>
        </w:rPr>
        <w:fldChar w:fldCharType="separate"/>
      </w:r>
      <w:r>
        <w:rPr>
          <w:noProof/>
        </w:rPr>
        <w:t>1</w:t>
      </w:r>
      <w:r>
        <w:rPr>
          <w:noProof/>
        </w:rPr>
        <w:fldChar w:fldCharType="end"/>
      </w:r>
    </w:p>
    <w:p w14:paraId="5A97545E" w14:textId="77777777" w:rsidR="002F6F4F" w:rsidRPr="00D062B6" w:rsidRDefault="002F6F4F">
      <w:pPr>
        <w:pStyle w:val="TOC1"/>
        <w:rPr>
          <w:rFonts w:ascii="Calibri" w:hAnsi="Calibri"/>
          <w:b w:val="0"/>
          <w:caps w:val="0"/>
          <w:noProof/>
          <w:sz w:val="22"/>
          <w:szCs w:val="22"/>
          <w:lang w:val="en-AU" w:eastAsia="en-AU"/>
        </w:rPr>
      </w:pPr>
      <w:r w:rsidRPr="001A3627">
        <w:rPr>
          <w:noProof/>
        </w:rPr>
        <w:t>3.</w:t>
      </w:r>
      <w:r w:rsidRPr="00D062B6">
        <w:rPr>
          <w:rFonts w:ascii="Calibri" w:hAnsi="Calibri"/>
          <w:b w:val="0"/>
          <w:caps w:val="0"/>
          <w:noProof/>
          <w:sz w:val="22"/>
          <w:szCs w:val="22"/>
          <w:lang w:val="en-AU" w:eastAsia="en-AU"/>
        </w:rPr>
        <w:tab/>
      </w:r>
      <w:r>
        <w:rPr>
          <w:noProof/>
        </w:rPr>
        <w:t>FINANCIAL Documentation</w:t>
      </w:r>
      <w:r>
        <w:rPr>
          <w:noProof/>
        </w:rPr>
        <w:tab/>
      </w:r>
      <w:r>
        <w:rPr>
          <w:noProof/>
        </w:rPr>
        <w:fldChar w:fldCharType="begin"/>
      </w:r>
      <w:r>
        <w:rPr>
          <w:noProof/>
        </w:rPr>
        <w:instrText xml:space="preserve"> PAGEREF _Toc106600756 \h </w:instrText>
      </w:r>
      <w:r>
        <w:rPr>
          <w:noProof/>
        </w:rPr>
      </w:r>
      <w:r>
        <w:rPr>
          <w:noProof/>
        </w:rPr>
        <w:fldChar w:fldCharType="separate"/>
      </w:r>
      <w:r>
        <w:rPr>
          <w:noProof/>
        </w:rPr>
        <w:t>1</w:t>
      </w:r>
      <w:r>
        <w:rPr>
          <w:noProof/>
        </w:rPr>
        <w:fldChar w:fldCharType="end"/>
      </w:r>
    </w:p>
    <w:p w14:paraId="7A8C909B" w14:textId="77777777" w:rsidR="002F6F4F" w:rsidRPr="00D062B6" w:rsidRDefault="002F6F4F">
      <w:pPr>
        <w:pStyle w:val="TOC1"/>
        <w:rPr>
          <w:rFonts w:ascii="Calibri" w:hAnsi="Calibri"/>
          <w:b w:val="0"/>
          <w:caps w:val="0"/>
          <w:noProof/>
          <w:sz w:val="22"/>
          <w:szCs w:val="22"/>
          <w:lang w:val="en-AU" w:eastAsia="en-AU"/>
        </w:rPr>
      </w:pPr>
      <w:r w:rsidRPr="001A3627">
        <w:rPr>
          <w:noProof/>
        </w:rPr>
        <w:t>4.</w:t>
      </w:r>
      <w:r w:rsidRPr="00D062B6">
        <w:rPr>
          <w:rFonts w:ascii="Calibri" w:hAnsi="Calibri"/>
          <w:b w:val="0"/>
          <w:caps w:val="0"/>
          <w:noProof/>
          <w:sz w:val="22"/>
          <w:szCs w:val="22"/>
          <w:lang w:val="en-AU" w:eastAsia="en-AU"/>
        </w:rPr>
        <w:tab/>
      </w:r>
      <w:r>
        <w:rPr>
          <w:noProof/>
        </w:rPr>
        <w:t>FINANCIAL requirements</w:t>
      </w:r>
      <w:r>
        <w:rPr>
          <w:noProof/>
        </w:rPr>
        <w:tab/>
      </w:r>
      <w:r>
        <w:rPr>
          <w:noProof/>
        </w:rPr>
        <w:fldChar w:fldCharType="begin"/>
      </w:r>
      <w:r>
        <w:rPr>
          <w:noProof/>
        </w:rPr>
        <w:instrText xml:space="preserve"> PAGEREF _Toc106600757 \h </w:instrText>
      </w:r>
      <w:r>
        <w:rPr>
          <w:noProof/>
        </w:rPr>
      </w:r>
      <w:r>
        <w:rPr>
          <w:noProof/>
        </w:rPr>
        <w:fldChar w:fldCharType="separate"/>
      </w:r>
      <w:r>
        <w:rPr>
          <w:noProof/>
        </w:rPr>
        <w:t>2</w:t>
      </w:r>
      <w:r>
        <w:rPr>
          <w:noProof/>
        </w:rPr>
        <w:fldChar w:fldCharType="end"/>
      </w:r>
    </w:p>
    <w:p w14:paraId="7D94912D" w14:textId="77777777" w:rsidR="002F6F4F" w:rsidRPr="00D062B6" w:rsidRDefault="002F6F4F">
      <w:pPr>
        <w:pStyle w:val="TOC2"/>
        <w:rPr>
          <w:rFonts w:ascii="Calibri" w:hAnsi="Calibri"/>
          <w:noProof/>
          <w:sz w:val="22"/>
          <w:szCs w:val="22"/>
          <w:lang w:val="en-AU" w:eastAsia="en-AU"/>
        </w:rPr>
      </w:pPr>
      <w:r>
        <w:rPr>
          <w:noProof/>
        </w:rPr>
        <w:t>4.1</w:t>
      </w:r>
      <w:r w:rsidRPr="00D062B6">
        <w:rPr>
          <w:rFonts w:ascii="Calibri" w:hAnsi="Calibri"/>
          <w:noProof/>
          <w:sz w:val="22"/>
          <w:szCs w:val="22"/>
          <w:lang w:val="en-AU" w:eastAsia="en-AU"/>
        </w:rPr>
        <w:tab/>
      </w:r>
      <w:r>
        <w:rPr>
          <w:noProof/>
        </w:rPr>
        <w:t>General Requirements</w:t>
      </w:r>
      <w:r>
        <w:rPr>
          <w:noProof/>
        </w:rPr>
        <w:tab/>
      </w:r>
      <w:r>
        <w:rPr>
          <w:noProof/>
        </w:rPr>
        <w:fldChar w:fldCharType="begin"/>
      </w:r>
      <w:r>
        <w:rPr>
          <w:noProof/>
        </w:rPr>
        <w:instrText xml:space="preserve"> PAGEREF _Toc106600758 \h </w:instrText>
      </w:r>
      <w:r>
        <w:rPr>
          <w:noProof/>
        </w:rPr>
      </w:r>
      <w:r>
        <w:rPr>
          <w:noProof/>
        </w:rPr>
        <w:fldChar w:fldCharType="separate"/>
      </w:r>
      <w:r>
        <w:rPr>
          <w:noProof/>
        </w:rPr>
        <w:t>2</w:t>
      </w:r>
      <w:r>
        <w:rPr>
          <w:noProof/>
        </w:rPr>
        <w:fldChar w:fldCharType="end"/>
      </w:r>
    </w:p>
    <w:p w14:paraId="479269C0" w14:textId="77777777" w:rsidR="002F6F4F" w:rsidRPr="00D062B6" w:rsidRDefault="002F6F4F">
      <w:pPr>
        <w:pStyle w:val="TOC2"/>
        <w:rPr>
          <w:rFonts w:ascii="Calibri" w:hAnsi="Calibri"/>
          <w:noProof/>
          <w:sz w:val="22"/>
          <w:szCs w:val="22"/>
          <w:lang w:val="en-AU" w:eastAsia="en-AU"/>
        </w:rPr>
      </w:pPr>
      <w:r>
        <w:rPr>
          <w:noProof/>
        </w:rPr>
        <w:t>4.2</w:t>
      </w:r>
      <w:r w:rsidRPr="00D062B6">
        <w:rPr>
          <w:rFonts w:ascii="Calibri" w:hAnsi="Calibri"/>
          <w:noProof/>
          <w:sz w:val="22"/>
          <w:szCs w:val="22"/>
          <w:lang w:val="en-AU" w:eastAsia="en-AU"/>
        </w:rPr>
        <w:tab/>
      </w:r>
      <w:r>
        <w:rPr>
          <w:noProof/>
        </w:rPr>
        <w:t>Managing Client Funds (Only Applies to Insurance Intermediaries)</w:t>
      </w:r>
      <w:r>
        <w:rPr>
          <w:noProof/>
        </w:rPr>
        <w:tab/>
      </w:r>
      <w:r>
        <w:rPr>
          <w:noProof/>
        </w:rPr>
        <w:fldChar w:fldCharType="begin"/>
      </w:r>
      <w:r>
        <w:rPr>
          <w:noProof/>
        </w:rPr>
        <w:instrText xml:space="preserve"> PAGEREF _Toc106600759 \h </w:instrText>
      </w:r>
      <w:r>
        <w:rPr>
          <w:noProof/>
        </w:rPr>
      </w:r>
      <w:r>
        <w:rPr>
          <w:noProof/>
        </w:rPr>
        <w:fldChar w:fldCharType="separate"/>
      </w:r>
      <w:r>
        <w:rPr>
          <w:noProof/>
        </w:rPr>
        <w:t>2</w:t>
      </w:r>
      <w:r>
        <w:rPr>
          <w:noProof/>
        </w:rPr>
        <w:fldChar w:fldCharType="end"/>
      </w:r>
    </w:p>
    <w:p w14:paraId="56EFD512" w14:textId="77777777" w:rsidR="002F6F4F" w:rsidRPr="00D062B6" w:rsidRDefault="002F6F4F">
      <w:pPr>
        <w:pStyle w:val="TOC1"/>
        <w:rPr>
          <w:rFonts w:ascii="Calibri" w:hAnsi="Calibri"/>
          <w:b w:val="0"/>
          <w:caps w:val="0"/>
          <w:noProof/>
          <w:sz w:val="22"/>
          <w:szCs w:val="22"/>
          <w:lang w:val="en-AU" w:eastAsia="en-AU"/>
        </w:rPr>
      </w:pPr>
      <w:r w:rsidRPr="001A3627">
        <w:rPr>
          <w:noProof/>
        </w:rPr>
        <w:t>5.</w:t>
      </w:r>
      <w:r w:rsidRPr="00D062B6">
        <w:rPr>
          <w:rFonts w:ascii="Calibri" w:hAnsi="Calibri"/>
          <w:b w:val="0"/>
          <w:caps w:val="0"/>
          <w:noProof/>
          <w:sz w:val="22"/>
          <w:szCs w:val="22"/>
          <w:lang w:val="en-AU" w:eastAsia="en-AU"/>
        </w:rPr>
        <w:tab/>
      </w:r>
      <w:r>
        <w:rPr>
          <w:noProof/>
        </w:rPr>
        <w:t>Processes</w:t>
      </w:r>
      <w:r>
        <w:rPr>
          <w:noProof/>
        </w:rPr>
        <w:tab/>
      </w:r>
      <w:r>
        <w:rPr>
          <w:noProof/>
        </w:rPr>
        <w:fldChar w:fldCharType="begin"/>
      </w:r>
      <w:r>
        <w:rPr>
          <w:noProof/>
        </w:rPr>
        <w:instrText xml:space="preserve"> PAGEREF _Toc106600760 \h </w:instrText>
      </w:r>
      <w:r>
        <w:rPr>
          <w:noProof/>
        </w:rPr>
      </w:r>
      <w:r>
        <w:rPr>
          <w:noProof/>
        </w:rPr>
        <w:fldChar w:fldCharType="separate"/>
      </w:r>
      <w:r>
        <w:rPr>
          <w:noProof/>
        </w:rPr>
        <w:t>3</w:t>
      </w:r>
      <w:r>
        <w:rPr>
          <w:noProof/>
        </w:rPr>
        <w:fldChar w:fldCharType="end"/>
      </w:r>
    </w:p>
    <w:p w14:paraId="49CE0A13" w14:textId="77777777" w:rsidR="002F6F4F" w:rsidRPr="00D062B6" w:rsidRDefault="002F6F4F">
      <w:pPr>
        <w:pStyle w:val="TOC2"/>
        <w:rPr>
          <w:rFonts w:ascii="Calibri" w:hAnsi="Calibri"/>
          <w:noProof/>
          <w:sz w:val="22"/>
          <w:szCs w:val="22"/>
          <w:lang w:val="en-AU" w:eastAsia="en-AU"/>
        </w:rPr>
      </w:pPr>
      <w:r>
        <w:rPr>
          <w:noProof/>
        </w:rPr>
        <w:t>5.1</w:t>
      </w:r>
      <w:r w:rsidRPr="00D062B6">
        <w:rPr>
          <w:rFonts w:ascii="Calibri" w:hAnsi="Calibri"/>
          <w:noProof/>
          <w:sz w:val="22"/>
          <w:szCs w:val="22"/>
          <w:lang w:val="en-AU" w:eastAsia="en-AU"/>
        </w:rPr>
        <w:tab/>
      </w:r>
      <w:r>
        <w:rPr>
          <w:noProof/>
        </w:rPr>
        <w:t>Licence Related Issues</w:t>
      </w:r>
      <w:r>
        <w:rPr>
          <w:noProof/>
        </w:rPr>
        <w:tab/>
      </w:r>
      <w:r>
        <w:rPr>
          <w:noProof/>
        </w:rPr>
        <w:fldChar w:fldCharType="begin"/>
      </w:r>
      <w:r>
        <w:rPr>
          <w:noProof/>
        </w:rPr>
        <w:instrText xml:space="preserve"> PAGEREF _Toc106600761 \h </w:instrText>
      </w:r>
      <w:r>
        <w:rPr>
          <w:noProof/>
        </w:rPr>
      </w:r>
      <w:r>
        <w:rPr>
          <w:noProof/>
        </w:rPr>
        <w:fldChar w:fldCharType="separate"/>
      </w:r>
      <w:r>
        <w:rPr>
          <w:noProof/>
        </w:rPr>
        <w:t>3</w:t>
      </w:r>
      <w:r>
        <w:rPr>
          <w:noProof/>
        </w:rPr>
        <w:fldChar w:fldCharType="end"/>
      </w:r>
    </w:p>
    <w:p w14:paraId="00656262" w14:textId="77777777" w:rsidR="002F6F4F" w:rsidRPr="00D062B6" w:rsidRDefault="002F6F4F">
      <w:pPr>
        <w:pStyle w:val="TOC2"/>
        <w:rPr>
          <w:rFonts w:ascii="Calibri" w:hAnsi="Calibri"/>
          <w:noProof/>
          <w:sz w:val="22"/>
          <w:szCs w:val="22"/>
          <w:lang w:val="en-AU" w:eastAsia="en-AU"/>
        </w:rPr>
      </w:pPr>
      <w:r>
        <w:rPr>
          <w:noProof/>
        </w:rPr>
        <w:t>5.2</w:t>
      </w:r>
      <w:r w:rsidRPr="00D062B6">
        <w:rPr>
          <w:rFonts w:ascii="Calibri" w:hAnsi="Calibri"/>
          <w:noProof/>
          <w:sz w:val="22"/>
          <w:szCs w:val="22"/>
          <w:lang w:val="en-AU" w:eastAsia="en-AU"/>
        </w:rPr>
        <w:tab/>
      </w:r>
      <w:r>
        <w:rPr>
          <w:noProof/>
        </w:rPr>
        <w:t>Option 1</w:t>
      </w:r>
      <w:r>
        <w:rPr>
          <w:noProof/>
        </w:rPr>
        <w:tab/>
      </w:r>
      <w:r>
        <w:rPr>
          <w:noProof/>
        </w:rPr>
        <w:fldChar w:fldCharType="begin"/>
      </w:r>
      <w:r>
        <w:rPr>
          <w:noProof/>
        </w:rPr>
        <w:instrText xml:space="preserve"> PAGEREF _Toc106600762 \h </w:instrText>
      </w:r>
      <w:r>
        <w:rPr>
          <w:noProof/>
        </w:rPr>
      </w:r>
      <w:r>
        <w:rPr>
          <w:noProof/>
        </w:rPr>
        <w:fldChar w:fldCharType="separate"/>
      </w:r>
      <w:r>
        <w:rPr>
          <w:noProof/>
        </w:rPr>
        <w:t>3</w:t>
      </w:r>
      <w:r>
        <w:rPr>
          <w:noProof/>
        </w:rPr>
        <w:fldChar w:fldCharType="end"/>
      </w:r>
    </w:p>
    <w:p w14:paraId="4C7BF728" w14:textId="77777777" w:rsidR="002F6F4F" w:rsidRPr="00D062B6" w:rsidRDefault="002F6F4F">
      <w:pPr>
        <w:pStyle w:val="TOC2"/>
        <w:rPr>
          <w:rFonts w:ascii="Calibri" w:hAnsi="Calibri"/>
          <w:noProof/>
          <w:sz w:val="22"/>
          <w:szCs w:val="22"/>
          <w:lang w:val="en-AU" w:eastAsia="en-AU"/>
        </w:rPr>
      </w:pPr>
      <w:r>
        <w:rPr>
          <w:noProof/>
        </w:rPr>
        <w:t>5.3</w:t>
      </w:r>
      <w:r w:rsidRPr="00D062B6">
        <w:rPr>
          <w:rFonts w:ascii="Calibri" w:hAnsi="Calibri"/>
          <w:noProof/>
          <w:sz w:val="22"/>
          <w:szCs w:val="22"/>
          <w:lang w:val="en-AU" w:eastAsia="en-AU"/>
        </w:rPr>
        <w:tab/>
      </w:r>
      <w:r>
        <w:rPr>
          <w:noProof/>
        </w:rPr>
        <w:t>Option 2</w:t>
      </w:r>
      <w:r>
        <w:rPr>
          <w:noProof/>
        </w:rPr>
        <w:tab/>
      </w:r>
      <w:r>
        <w:rPr>
          <w:noProof/>
        </w:rPr>
        <w:fldChar w:fldCharType="begin"/>
      </w:r>
      <w:r>
        <w:rPr>
          <w:noProof/>
        </w:rPr>
        <w:instrText xml:space="preserve"> PAGEREF _Toc106600763 \h </w:instrText>
      </w:r>
      <w:r>
        <w:rPr>
          <w:noProof/>
        </w:rPr>
      </w:r>
      <w:r>
        <w:rPr>
          <w:noProof/>
        </w:rPr>
        <w:fldChar w:fldCharType="separate"/>
      </w:r>
      <w:r>
        <w:rPr>
          <w:noProof/>
        </w:rPr>
        <w:t>4</w:t>
      </w:r>
      <w:r>
        <w:rPr>
          <w:noProof/>
        </w:rPr>
        <w:fldChar w:fldCharType="end"/>
      </w:r>
    </w:p>
    <w:p w14:paraId="4AC5A428" w14:textId="77777777" w:rsidR="002F6F4F" w:rsidRPr="00D062B6" w:rsidRDefault="002F6F4F">
      <w:pPr>
        <w:pStyle w:val="TOC1"/>
        <w:rPr>
          <w:rFonts w:ascii="Calibri" w:hAnsi="Calibri"/>
          <w:b w:val="0"/>
          <w:caps w:val="0"/>
          <w:noProof/>
          <w:sz w:val="22"/>
          <w:szCs w:val="22"/>
          <w:lang w:val="en-AU" w:eastAsia="en-AU"/>
        </w:rPr>
      </w:pPr>
      <w:r w:rsidRPr="001A3627">
        <w:rPr>
          <w:noProof/>
        </w:rPr>
        <w:t>6.</w:t>
      </w:r>
      <w:r w:rsidRPr="00D062B6">
        <w:rPr>
          <w:rFonts w:ascii="Calibri" w:hAnsi="Calibri"/>
          <w:b w:val="0"/>
          <w:caps w:val="0"/>
          <w:noProof/>
          <w:sz w:val="22"/>
          <w:szCs w:val="22"/>
          <w:lang w:val="en-AU" w:eastAsia="en-AU"/>
        </w:rPr>
        <w:tab/>
      </w:r>
      <w:r>
        <w:rPr>
          <w:noProof/>
        </w:rPr>
        <w:t>Audit Engagement Letter</w:t>
      </w:r>
      <w:r>
        <w:rPr>
          <w:noProof/>
        </w:rPr>
        <w:tab/>
      </w:r>
      <w:r>
        <w:rPr>
          <w:noProof/>
        </w:rPr>
        <w:fldChar w:fldCharType="begin"/>
      </w:r>
      <w:r>
        <w:rPr>
          <w:noProof/>
        </w:rPr>
        <w:instrText xml:space="preserve"> PAGEREF _Toc106600764 \h </w:instrText>
      </w:r>
      <w:r>
        <w:rPr>
          <w:noProof/>
        </w:rPr>
      </w:r>
      <w:r>
        <w:rPr>
          <w:noProof/>
        </w:rPr>
        <w:fldChar w:fldCharType="separate"/>
      </w:r>
      <w:r>
        <w:rPr>
          <w:noProof/>
        </w:rPr>
        <w:t>4</w:t>
      </w:r>
      <w:r>
        <w:rPr>
          <w:noProof/>
        </w:rPr>
        <w:fldChar w:fldCharType="end"/>
      </w:r>
    </w:p>
    <w:p w14:paraId="1B37669A" w14:textId="77777777" w:rsidR="002F6F4F" w:rsidRPr="00D062B6" w:rsidRDefault="002F6F4F">
      <w:pPr>
        <w:pStyle w:val="TOC1"/>
        <w:rPr>
          <w:rFonts w:ascii="Calibri" w:hAnsi="Calibri"/>
          <w:b w:val="0"/>
          <w:caps w:val="0"/>
          <w:noProof/>
          <w:sz w:val="22"/>
          <w:szCs w:val="22"/>
          <w:lang w:val="en-AU" w:eastAsia="en-AU"/>
        </w:rPr>
      </w:pPr>
      <w:r w:rsidRPr="001A3627">
        <w:rPr>
          <w:noProof/>
        </w:rPr>
        <w:t>7.</w:t>
      </w:r>
      <w:r w:rsidRPr="00D062B6">
        <w:rPr>
          <w:rFonts w:ascii="Calibri" w:hAnsi="Calibri"/>
          <w:b w:val="0"/>
          <w:caps w:val="0"/>
          <w:noProof/>
          <w:sz w:val="22"/>
          <w:szCs w:val="22"/>
          <w:lang w:val="en-AU" w:eastAsia="en-AU"/>
        </w:rPr>
        <w:tab/>
      </w:r>
      <w:r>
        <w:rPr>
          <w:noProof/>
        </w:rPr>
        <w:t>Financial Management Processes</w:t>
      </w:r>
      <w:r>
        <w:rPr>
          <w:noProof/>
        </w:rPr>
        <w:tab/>
      </w:r>
      <w:r>
        <w:rPr>
          <w:noProof/>
        </w:rPr>
        <w:fldChar w:fldCharType="begin"/>
      </w:r>
      <w:r>
        <w:rPr>
          <w:noProof/>
        </w:rPr>
        <w:instrText xml:space="preserve"> PAGEREF _Toc106600765 \h </w:instrText>
      </w:r>
      <w:r>
        <w:rPr>
          <w:noProof/>
        </w:rPr>
      </w:r>
      <w:r>
        <w:rPr>
          <w:noProof/>
        </w:rPr>
        <w:fldChar w:fldCharType="separate"/>
      </w:r>
      <w:r>
        <w:rPr>
          <w:noProof/>
        </w:rPr>
        <w:t>4</w:t>
      </w:r>
      <w:r>
        <w:rPr>
          <w:noProof/>
        </w:rPr>
        <w:fldChar w:fldCharType="end"/>
      </w:r>
    </w:p>
    <w:p w14:paraId="3767F424" w14:textId="77777777" w:rsidR="002F6F4F" w:rsidRPr="00D062B6" w:rsidRDefault="002F6F4F">
      <w:pPr>
        <w:pStyle w:val="TOC1"/>
        <w:rPr>
          <w:rFonts w:ascii="Calibri" w:hAnsi="Calibri"/>
          <w:b w:val="0"/>
          <w:caps w:val="0"/>
          <w:noProof/>
          <w:sz w:val="22"/>
          <w:szCs w:val="22"/>
          <w:lang w:val="en-AU" w:eastAsia="en-AU"/>
        </w:rPr>
      </w:pPr>
      <w:r w:rsidRPr="001A3627">
        <w:rPr>
          <w:noProof/>
        </w:rPr>
        <w:t>8.</w:t>
      </w:r>
      <w:r w:rsidRPr="00D062B6">
        <w:rPr>
          <w:rFonts w:ascii="Calibri" w:hAnsi="Calibri"/>
          <w:b w:val="0"/>
          <w:caps w:val="0"/>
          <w:noProof/>
          <w:sz w:val="22"/>
          <w:szCs w:val="22"/>
          <w:lang w:val="en-AU" w:eastAsia="en-AU"/>
        </w:rPr>
        <w:tab/>
      </w:r>
      <w:r>
        <w:rPr>
          <w:noProof/>
        </w:rPr>
        <w:t>FINANCIAL MANAGEMENT REPORTING</w:t>
      </w:r>
      <w:r>
        <w:rPr>
          <w:noProof/>
        </w:rPr>
        <w:tab/>
      </w:r>
      <w:r>
        <w:rPr>
          <w:noProof/>
        </w:rPr>
        <w:fldChar w:fldCharType="begin"/>
      </w:r>
      <w:r>
        <w:rPr>
          <w:noProof/>
        </w:rPr>
        <w:instrText xml:space="preserve"> PAGEREF _Toc106600766 \h </w:instrText>
      </w:r>
      <w:r>
        <w:rPr>
          <w:noProof/>
        </w:rPr>
      </w:r>
      <w:r>
        <w:rPr>
          <w:noProof/>
        </w:rPr>
        <w:fldChar w:fldCharType="separate"/>
      </w:r>
      <w:r>
        <w:rPr>
          <w:noProof/>
        </w:rPr>
        <w:t>5</w:t>
      </w:r>
      <w:r>
        <w:rPr>
          <w:noProof/>
        </w:rPr>
        <w:fldChar w:fldCharType="end"/>
      </w:r>
    </w:p>
    <w:p w14:paraId="2A0DECE2" w14:textId="77777777" w:rsidR="002F6F4F" w:rsidRPr="00D062B6" w:rsidRDefault="002F6F4F">
      <w:pPr>
        <w:pStyle w:val="TOC1"/>
        <w:rPr>
          <w:rFonts w:ascii="Calibri" w:hAnsi="Calibri"/>
          <w:b w:val="0"/>
          <w:caps w:val="0"/>
          <w:noProof/>
          <w:sz w:val="22"/>
          <w:szCs w:val="22"/>
          <w:lang w:val="en-AU" w:eastAsia="en-AU"/>
        </w:rPr>
      </w:pPr>
      <w:r w:rsidRPr="001A3627">
        <w:rPr>
          <w:noProof/>
        </w:rPr>
        <w:t>9.</w:t>
      </w:r>
      <w:r w:rsidRPr="00D062B6">
        <w:rPr>
          <w:rFonts w:ascii="Calibri" w:hAnsi="Calibri"/>
          <w:b w:val="0"/>
          <w:caps w:val="0"/>
          <w:noProof/>
          <w:sz w:val="22"/>
          <w:szCs w:val="22"/>
          <w:lang w:val="en-AU" w:eastAsia="en-AU"/>
        </w:rPr>
        <w:tab/>
      </w:r>
      <w:r>
        <w:rPr>
          <w:noProof/>
        </w:rPr>
        <w:t>ASIC Returns</w:t>
      </w:r>
      <w:r>
        <w:rPr>
          <w:noProof/>
        </w:rPr>
        <w:tab/>
      </w:r>
      <w:r>
        <w:rPr>
          <w:noProof/>
        </w:rPr>
        <w:fldChar w:fldCharType="begin"/>
      </w:r>
      <w:r>
        <w:rPr>
          <w:noProof/>
        </w:rPr>
        <w:instrText xml:space="preserve"> PAGEREF _Toc106600767 \h </w:instrText>
      </w:r>
      <w:r>
        <w:rPr>
          <w:noProof/>
        </w:rPr>
      </w:r>
      <w:r>
        <w:rPr>
          <w:noProof/>
        </w:rPr>
        <w:fldChar w:fldCharType="separate"/>
      </w:r>
      <w:r>
        <w:rPr>
          <w:noProof/>
        </w:rPr>
        <w:t>5</w:t>
      </w:r>
      <w:r>
        <w:rPr>
          <w:noProof/>
        </w:rPr>
        <w:fldChar w:fldCharType="end"/>
      </w:r>
    </w:p>
    <w:p w14:paraId="734571D7" w14:textId="77777777" w:rsidR="002F6F4F" w:rsidRPr="00D062B6" w:rsidRDefault="002F6F4F">
      <w:pPr>
        <w:pStyle w:val="TOC2"/>
        <w:rPr>
          <w:rFonts w:ascii="Calibri" w:hAnsi="Calibri"/>
          <w:noProof/>
          <w:sz w:val="22"/>
          <w:szCs w:val="22"/>
          <w:lang w:val="en-AU" w:eastAsia="en-AU"/>
        </w:rPr>
      </w:pPr>
      <w:r>
        <w:rPr>
          <w:noProof/>
        </w:rPr>
        <w:t>9.1</w:t>
      </w:r>
      <w:r w:rsidRPr="00D062B6">
        <w:rPr>
          <w:rFonts w:ascii="Calibri" w:hAnsi="Calibri"/>
          <w:noProof/>
          <w:sz w:val="22"/>
          <w:szCs w:val="22"/>
          <w:lang w:val="en-AU" w:eastAsia="en-AU"/>
        </w:rPr>
        <w:tab/>
      </w:r>
      <w:r>
        <w:rPr>
          <w:noProof/>
        </w:rPr>
        <w:t>Audits</w:t>
      </w:r>
      <w:r>
        <w:rPr>
          <w:noProof/>
        </w:rPr>
        <w:tab/>
      </w:r>
      <w:r>
        <w:rPr>
          <w:noProof/>
        </w:rPr>
        <w:fldChar w:fldCharType="begin"/>
      </w:r>
      <w:r>
        <w:rPr>
          <w:noProof/>
        </w:rPr>
        <w:instrText xml:space="preserve"> PAGEREF _Toc106600768 \h </w:instrText>
      </w:r>
      <w:r>
        <w:rPr>
          <w:noProof/>
        </w:rPr>
      </w:r>
      <w:r>
        <w:rPr>
          <w:noProof/>
        </w:rPr>
        <w:fldChar w:fldCharType="separate"/>
      </w:r>
      <w:r>
        <w:rPr>
          <w:noProof/>
        </w:rPr>
        <w:t>5</w:t>
      </w:r>
      <w:r>
        <w:rPr>
          <w:noProof/>
        </w:rPr>
        <w:fldChar w:fldCharType="end"/>
      </w:r>
    </w:p>
    <w:p w14:paraId="4A2D39D8" w14:textId="77777777" w:rsidR="002F6F4F" w:rsidRPr="00D062B6" w:rsidRDefault="002F6F4F">
      <w:pPr>
        <w:pStyle w:val="TOC2"/>
        <w:rPr>
          <w:rFonts w:ascii="Calibri" w:hAnsi="Calibri"/>
          <w:noProof/>
          <w:sz w:val="22"/>
          <w:szCs w:val="22"/>
          <w:lang w:val="en-AU" w:eastAsia="en-AU"/>
        </w:rPr>
      </w:pPr>
      <w:r>
        <w:rPr>
          <w:noProof/>
        </w:rPr>
        <w:t>9.2</w:t>
      </w:r>
      <w:r w:rsidRPr="00D062B6">
        <w:rPr>
          <w:rFonts w:ascii="Calibri" w:hAnsi="Calibri"/>
          <w:noProof/>
          <w:sz w:val="22"/>
          <w:szCs w:val="22"/>
          <w:lang w:val="en-AU" w:eastAsia="en-AU"/>
        </w:rPr>
        <w:tab/>
      </w:r>
      <w:r>
        <w:rPr>
          <w:noProof/>
        </w:rPr>
        <w:t>Business Metrics</w:t>
      </w:r>
      <w:r>
        <w:rPr>
          <w:noProof/>
        </w:rPr>
        <w:tab/>
      </w:r>
      <w:r>
        <w:rPr>
          <w:noProof/>
        </w:rPr>
        <w:fldChar w:fldCharType="begin"/>
      </w:r>
      <w:r>
        <w:rPr>
          <w:noProof/>
        </w:rPr>
        <w:instrText xml:space="preserve"> PAGEREF _Toc106600769 \h </w:instrText>
      </w:r>
      <w:r>
        <w:rPr>
          <w:noProof/>
        </w:rPr>
      </w:r>
      <w:r>
        <w:rPr>
          <w:noProof/>
        </w:rPr>
        <w:fldChar w:fldCharType="separate"/>
      </w:r>
      <w:r>
        <w:rPr>
          <w:noProof/>
        </w:rPr>
        <w:t>6</w:t>
      </w:r>
      <w:r>
        <w:rPr>
          <w:noProof/>
        </w:rPr>
        <w:fldChar w:fldCharType="end"/>
      </w:r>
    </w:p>
    <w:p w14:paraId="4410ED4F" w14:textId="77777777" w:rsidR="002F6F4F" w:rsidRPr="00D062B6" w:rsidRDefault="002F6F4F">
      <w:pPr>
        <w:pStyle w:val="TOC1"/>
        <w:rPr>
          <w:rFonts w:ascii="Calibri" w:hAnsi="Calibri"/>
          <w:b w:val="0"/>
          <w:caps w:val="0"/>
          <w:noProof/>
          <w:sz w:val="22"/>
          <w:szCs w:val="22"/>
          <w:lang w:val="en-AU" w:eastAsia="en-AU"/>
        </w:rPr>
      </w:pPr>
      <w:r w:rsidRPr="001A3627">
        <w:rPr>
          <w:noProof/>
        </w:rPr>
        <w:t>10.</w:t>
      </w:r>
      <w:r w:rsidRPr="00D062B6">
        <w:rPr>
          <w:rFonts w:ascii="Calibri" w:hAnsi="Calibri"/>
          <w:b w:val="0"/>
          <w:caps w:val="0"/>
          <w:noProof/>
          <w:sz w:val="22"/>
          <w:szCs w:val="22"/>
          <w:lang w:val="en-AU" w:eastAsia="en-AU"/>
        </w:rPr>
        <w:tab/>
      </w:r>
      <w:r>
        <w:rPr>
          <w:noProof/>
        </w:rPr>
        <w:t>CREDIT CARD Payment SURCHARGE</w:t>
      </w:r>
      <w:r>
        <w:rPr>
          <w:noProof/>
        </w:rPr>
        <w:tab/>
      </w:r>
      <w:r>
        <w:rPr>
          <w:noProof/>
        </w:rPr>
        <w:fldChar w:fldCharType="begin"/>
      </w:r>
      <w:r>
        <w:rPr>
          <w:noProof/>
        </w:rPr>
        <w:instrText xml:space="preserve"> PAGEREF _Toc106600770 \h </w:instrText>
      </w:r>
      <w:r>
        <w:rPr>
          <w:noProof/>
        </w:rPr>
      </w:r>
      <w:r>
        <w:rPr>
          <w:noProof/>
        </w:rPr>
        <w:fldChar w:fldCharType="separate"/>
      </w:r>
      <w:r>
        <w:rPr>
          <w:noProof/>
        </w:rPr>
        <w:t>6</w:t>
      </w:r>
      <w:r>
        <w:rPr>
          <w:noProof/>
        </w:rPr>
        <w:fldChar w:fldCharType="end"/>
      </w:r>
    </w:p>
    <w:p w14:paraId="586CC15F" w14:textId="77777777" w:rsidR="002F6F4F" w:rsidRPr="00D062B6" w:rsidRDefault="002F6F4F">
      <w:pPr>
        <w:pStyle w:val="TOC1"/>
        <w:rPr>
          <w:rFonts w:ascii="Calibri" w:hAnsi="Calibri"/>
          <w:b w:val="0"/>
          <w:caps w:val="0"/>
          <w:noProof/>
          <w:sz w:val="22"/>
          <w:szCs w:val="22"/>
          <w:lang w:val="en-AU" w:eastAsia="en-AU"/>
        </w:rPr>
      </w:pPr>
      <w:r w:rsidRPr="001A3627">
        <w:rPr>
          <w:noProof/>
        </w:rPr>
        <w:t>11.</w:t>
      </w:r>
      <w:r w:rsidRPr="00D062B6">
        <w:rPr>
          <w:rFonts w:ascii="Calibri" w:hAnsi="Calibri"/>
          <w:b w:val="0"/>
          <w:caps w:val="0"/>
          <w:noProof/>
          <w:sz w:val="22"/>
          <w:szCs w:val="22"/>
          <w:lang w:val="en-AU" w:eastAsia="en-AU"/>
        </w:rPr>
        <w:tab/>
      </w:r>
      <w:r>
        <w:rPr>
          <w:noProof/>
        </w:rPr>
        <w:t>Payment Card Industry Processes</w:t>
      </w:r>
      <w:r>
        <w:rPr>
          <w:noProof/>
        </w:rPr>
        <w:tab/>
      </w:r>
      <w:r>
        <w:rPr>
          <w:noProof/>
        </w:rPr>
        <w:fldChar w:fldCharType="begin"/>
      </w:r>
      <w:r>
        <w:rPr>
          <w:noProof/>
        </w:rPr>
        <w:instrText xml:space="preserve"> PAGEREF _Toc106600771 \h </w:instrText>
      </w:r>
      <w:r>
        <w:rPr>
          <w:noProof/>
        </w:rPr>
      </w:r>
      <w:r>
        <w:rPr>
          <w:noProof/>
        </w:rPr>
        <w:fldChar w:fldCharType="separate"/>
      </w:r>
      <w:r>
        <w:rPr>
          <w:noProof/>
        </w:rPr>
        <w:t>6</w:t>
      </w:r>
      <w:r>
        <w:rPr>
          <w:noProof/>
        </w:rPr>
        <w:fldChar w:fldCharType="end"/>
      </w:r>
    </w:p>
    <w:p w14:paraId="5F4332E6" w14:textId="77777777" w:rsidR="002F6F4F" w:rsidRPr="00D062B6" w:rsidRDefault="002F6F4F">
      <w:pPr>
        <w:pStyle w:val="TOC1"/>
        <w:rPr>
          <w:rFonts w:ascii="Calibri" w:hAnsi="Calibri"/>
          <w:b w:val="0"/>
          <w:caps w:val="0"/>
          <w:noProof/>
          <w:sz w:val="22"/>
          <w:szCs w:val="22"/>
          <w:lang w:val="en-AU" w:eastAsia="en-AU"/>
        </w:rPr>
      </w:pPr>
      <w:r w:rsidRPr="001A3627">
        <w:rPr>
          <w:noProof/>
        </w:rPr>
        <w:t>12.</w:t>
      </w:r>
      <w:r w:rsidRPr="00D062B6">
        <w:rPr>
          <w:rFonts w:ascii="Calibri" w:hAnsi="Calibri"/>
          <w:b w:val="0"/>
          <w:caps w:val="0"/>
          <w:noProof/>
          <w:sz w:val="22"/>
          <w:szCs w:val="22"/>
          <w:lang w:val="en-AU" w:eastAsia="en-AU"/>
        </w:rPr>
        <w:tab/>
      </w:r>
      <w:r>
        <w:rPr>
          <w:noProof/>
        </w:rPr>
        <w:t>General Insurance Taxes (only Applies to Insurance Intermediaries)</w:t>
      </w:r>
      <w:r>
        <w:rPr>
          <w:noProof/>
        </w:rPr>
        <w:tab/>
      </w:r>
      <w:r>
        <w:rPr>
          <w:noProof/>
        </w:rPr>
        <w:fldChar w:fldCharType="begin"/>
      </w:r>
      <w:r>
        <w:rPr>
          <w:noProof/>
        </w:rPr>
        <w:instrText xml:space="preserve"> PAGEREF _Toc106600772 \h </w:instrText>
      </w:r>
      <w:r>
        <w:rPr>
          <w:noProof/>
        </w:rPr>
      </w:r>
      <w:r>
        <w:rPr>
          <w:noProof/>
        </w:rPr>
        <w:fldChar w:fldCharType="separate"/>
      </w:r>
      <w:r>
        <w:rPr>
          <w:noProof/>
        </w:rPr>
        <w:t>7</w:t>
      </w:r>
      <w:r>
        <w:rPr>
          <w:noProof/>
        </w:rPr>
        <w:fldChar w:fldCharType="end"/>
      </w:r>
    </w:p>
    <w:p w14:paraId="30049625" w14:textId="77777777" w:rsidR="002F6F4F" w:rsidRPr="00D062B6" w:rsidRDefault="002F6F4F">
      <w:pPr>
        <w:pStyle w:val="TOC2"/>
        <w:rPr>
          <w:rFonts w:ascii="Calibri" w:hAnsi="Calibri"/>
          <w:noProof/>
          <w:sz w:val="22"/>
          <w:szCs w:val="22"/>
          <w:lang w:val="en-AU" w:eastAsia="en-AU"/>
        </w:rPr>
      </w:pPr>
      <w:r>
        <w:rPr>
          <w:noProof/>
        </w:rPr>
        <w:t>12.1</w:t>
      </w:r>
      <w:r w:rsidRPr="00D062B6">
        <w:rPr>
          <w:rFonts w:ascii="Calibri" w:hAnsi="Calibri"/>
          <w:noProof/>
          <w:sz w:val="22"/>
          <w:szCs w:val="22"/>
          <w:lang w:val="en-AU" w:eastAsia="en-AU"/>
        </w:rPr>
        <w:tab/>
      </w:r>
      <w:r>
        <w:rPr>
          <w:noProof/>
        </w:rPr>
        <w:t>Introduction</w:t>
      </w:r>
      <w:r>
        <w:rPr>
          <w:noProof/>
        </w:rPr>
        <w:tab/>
      </w:r>
      <w:r>
        <w:rPr>
          <w:noProof/>
        </w:rPr>
        <w:fldChar w:fldCharType="begin"/>
      </w:r>
      <w:r>
        <w:rPr>
          <w:noProof/>
        </w:rPr>
        <w:instrText xml:space="preserve"> PAGEREF _Toc106600773 \h </w:instrText>
      </w:r>
      <w:r>
        <w:rPr>
          <w:noProof/>
        </w:rPr>
      </w:r>
      <w:r>
        <w:rPr>
          <w:noProof/>
        </w:rPr>
        <w:fldChar w:fldCharType="separate"/>
      </w:r>
      <w:r>
        <w:rPr>
          <w:noProof/>
        </w:rPr>
        <w:t>7</w:t>
      </w:r>
      <w:r>
        <w:rPr>
          <w:noProof/>
        </w:rPr>
        <w:fldChar w:fldCharType="end"/>
      </w:r>
    </w:p>
    <w:p w14:paraId="3B00D532" w14:textId="77777777" w:rsidR="002F6F4F" w:rsidRPr="00D062B6" w:rsidRDefault="002F6F4F">
      <w:pPr>
        <w:pStyle w:val="TOC2"/>
        <w:rPr>
          <w:rFonts w:ascii="Calibri" w:hAnsi="Calibri"/>
          <w:noProof/>
          <w:sz w:val="22"/>
          <w:szCs w:val="22"/>
          <w:lang w:val="en-AU" w:eastAsia="en-AU"/>
        </w:rPr>
      </w:pPr>
      <w:r>
        <w:rPr>
          <w:noProof/>
        </w:rPr>
        <w:t>12.2</w:t>
      </w:r>
      <w:r w:rsidRPr="00D062B6">
        <w:rPr>
          <w:rFonts w:ascii="Calibri" w:hAnsi="Calibri"/>
          <w:noProof/>
          <w:sz w:val="22"/>
          <w:szCs w:val="22"/>
          <w:lang w:val="en-AU" w:eastAsia="en-AU"/>
        </w:rPr>
        <w:tab/>
      </w:r>
      <w:r>
        <w:rPr>
          <w:noProof/>
        </w:rPr>
        <w:t>Stamp Duty</w:t>
      </w:r>
      <w:r>
        <w:rPr>
          <w:noProof/>
        </w:rPr>
        <w:tab/>
      </w:r>
      <w:r>
        <w:rPr>
          <w:noProof/>
        </w:rPr>
        <w:fldChar w:fldCharType="begin"/>
      </w:r>
      <w:r>
        <w:rPr>
          <w:noProof/>
        </w:rPr>
        <w:instrText xml:space="preserve"> PAGEREF _Toc106600774 \h </w:instrText>
      </w:r>
      <w:r>
        <w:rPr>
          <w:noProof/>
        </w:rPr>
      </w:r>
      <w:r>
        <w:rPr>
          <w:noProof/>
        </w:rPr>
        <w:fldChar w:fldCharType="separate"/>
      </w:r>
      <w:r>
        <w:rPr>
          <w:noProof/>
        </w:rPr>
        <w:t>7</w:t>
      </w:r>
      <w:r>
        <w:rPr>
          <w:noProof/>
        </w:rPr>
        <w:fldChar w:fldCharType="end"/>
      </w:r>
    </w:p>
    <w:p w14:paraId="29FFAB25" w14:textId="77777777" w:rsidR="002F6F4F" w:rsidRPr="00D062B6" w:rsidRDefault="002F6F4F">
      <w:pPr>
        <w:pStyle w:val="TOC2"/>
        <w:rPr>
          <w:rFonts w:ascii="Calibri" w:hAnsi="Calibri"/>
          <w:noProof/>
          <w:sz w:val="22"/>
          <w:szCs w:val="22"/>
          <w:lang w:val="en-AU" w:eastAsia="en-AU"/>
        </w:rPr>
      </w:pPr>
      <w:r>
        <w:rPr>
          <w:noProof/>
        </w:rPr>
        <w:t>12.3</w:t>
      </w:r>
      <w:r w:rsidRPr="00D062B6">
        <w:rPr>
          <w:rFonts w:ascii="Calibri" w:hAnsi="Calibri"/>
          <w:noProof/>
          <w:sz w:val="22"/>
          <w:szCs w:val="22"/>
          <w:lang w:val="en-AU" w:eastAsia="en-AU"/>
        </w:rPr>
        <w:tab/>
      </w:r>
      <w:r>
        <w:rPr>
          <w:noProof/>
        </w:rPr>
        <w:t>Withholding Tax</w:t>
      </w:r>
      <w:r>
        <w:rPr>
          <w:noProof/>
        </w:rPr>
        <w:tab/>
      </w:r>
      <w:r>
        <w:rPr>
          <w:noProof/>
        </w:rPr>
        <w:fldChar w:fldCharType="begin"/>
      </w:r>
      <w:r>
        <w:rPr>
          <w:noProof/>
        </w:rPr>
        <w:instrText xml:space="preserve"> PAGEREF _Toc106600775 \h </w:instrText>
      </w:r>
      <w:r>
        <w:rPr>
          <w:noProof/>
        </w:rPr>
      </w:r>
      <w:r>
        <w:rPr>
          <w:noProof/>
        </w:rPr>
        <w:fldChar w:fldCharType="separate"/>
      </w:r>
      <w:r>
        <w:rPr>
          <w:noProof/>
        </w:rPr>
        <w:t>7</w:t>
      </w:r>
      <w:r>
        <w:rPr>
          <w:noProof/>
        </w:rPr>
        <w:fldChar w:fldCharType="end"/>
      </w:r>
    </w:p>
    <w:p w14:paraId="505564F6" w14:textId="77777777" w:rsidR="002F6F4F" w:rsidRPr="00D062B6" w:rsidRDefault="002F6F4F">
      <w:pPr>
        <w:pStyle w:val="TOC2"/>
        <w:rPr>
          <w:rFonts w:ascii="Calibri" w:hAnsi="Calibri"/>
          <w:noProof/>
          <w:sz w:val="22"/>
          <w:szCs w:val="22"/>
          <w:lang w:val="en-AU" w:eastAsia="en-AU"/>
        </w:rPr>
      </w:pPr>
      <w:r>
        <w:rPr>
          <w:noProof/>
        </w:rPr>
        <w:t>12.4</w:t>
      </w:r>
      <w:r w:rsidRPr="00D062B6">
        <w:rPr>
          <w:rFonts w:ascii="Calibri" w:hAnsi="Calibri"/>
          <w:noProof/>
          <w:sz w:val="22"/>
          <w:szCs w:val="22"/>
          <w:lang w:val="en-AU" w:eastAsia="en-AU"/>
        </w:rPr>
        <w:tab/>
      </w:r>
      <w:r>
        <w:rPr>
          <w:noProof/>
        </w:rPr>
        <w:t>Fire Essential Services (Fire Brigade)</w:t>
      </w:r>
      <w:r>
        <w:rPr>
          <w:noProof/>
        </w:rPr>
        <w:tab/>
      </w:r>
      <w:r>
        <w:rPr>
          <w:noProof/>
        </w:rPr>
        <w:fldChar w:fldCharType="begin"/>
      </w:r>
      <w:r>
        <w:rPr>
          <w:noProof/>
        </w:rPr>
        <w:instrText xml:space="preserve"> PAGEREF _Toc106600776 \h </w:instrText>
      </w:r>
      <w:r>
        <w:rPr>
          <w:noProof/>
        </w:rPr>
      </w:r>
      <w:r>
        <w:rPr>
          <w:noProof/>
        </w:rPr>
        <w:fldChar w:fldCharType="separate"/>
      </w:r>
      <w:r>
        <w:rPr>
          <w:noProof/>
        </w:rPr>
        <w:t>7</w:t>
      </w:r>
      <w:r>
        <w:rPr>
          <w:noProof/>
        </w:rPr>
        <w:fldChar w:fldCharType="end"/>
      </w:r>
    </w:p>
    <w:p w14:paraId="770F05E2" w14:textId="77777777" w:rsidR="002F6F4F" w:rsidRPr="00D062B6" w:rsidRDefault="002F6F4F">
      <w:pPr>
        <w:pStyle w:val="TOC2"/>
        <w:rPr>
          <w:rFonts w:ascii="Calibri" w:hAnsi="Calibri"/>
          <w:noProof/>
          <w:sz w:val="22"/>
          <w:szCs w:val="22"/>
          <w:lang w:val="en-AU" w:eastAsia="en-AU"/>
        </w:rPr>
      </w:pPr>
      <w:r>
        <w:rPr>
          <w:noProof/>
        </w:rPr>
        <w:t>12.5</w:t>
      </w:r>
      <w:r w:rsidRPr="00D062B6">
        <w:rPr>
          <w:rFonts w:ascii="Calibri" w:hAnsi="Calibri"/>
          <w:noProof/>
          <w:sz w:val="22"/>
          <w:szCs w:val="22"/>
          <w:lang w:val="en-AU" w:eastAsia="en-AU"/>
        </w:rPr>
        <w:tab/>
      </w:r>
      <w:r>
        <w:rPr>
          <w:noProof/>
        </w:rPr>
        <w:t>Terrorism Levy</w:t>
      </w:r>
      <w:r>
        <w:rPr>
          <w:noProof/>
        </w:rPr>
        <w:tab/>
      </w:r>
      <w:r>
        <w:rPr>
          <w:noProof/>
        </w:rPr>
        <w:fldChar w:fldCharType="begin"/>
      </w:r>
      <w:r>
        <w:rPr>
          <w:noProof/>
        </w:rPr>
        <w:instrText xml:space="preserve"> PAGEREF _Toc106600777 \h </w:instrText>
      </w:r>
      <w:r>
        <w:rPr>
          <w:noProof/>
        </w:rPr>
      </w:r>
      <w:r>
        <w:rPr>
          <w:noProof/>
        </w:rPr>
        <w:fldChar w:fldCharType="separate"/>
      </w:r>
      <w:r>
        <w:rPr>
          <w:noProof/>
        </w:rPr>
        <w:t>8</w:t>
      </w:r>
      <w:r>
        <w:rPr>
          <w:noProof/>
        </w:rPr>
        <w:fldChar w:fldCharType="end"/>
      </w:r>
    </w:p>
    <w:p w14:paraId="1661AB1C" w14:textId="77777777" w:rsidR="002F6F4F" w:rsidRPr="00D062B6" w:rsidRDefault="002F6F4F">
      <w:pPr>
        <w:pStyle w:val="TOC2"/>
        <w:rPr>
          <w:rFonts w:ascii="Calibri" w:hAnsi="Calibri"/>
          <w:noProof/>
          <w:sz w:val="22"/>
          <w:szCs w:val="22"/>
          <w:lang w:val="en-AU" w:eastAsia="en-AU"/>
        </w:rPr>
      </w:pPr>
      <w:r>
        <w:rPr>
          <w:noProof/>
        </w:rPr>
        <w:t>12.6</w:t>
      </w:r>
      <w:r w:rsidRPr="00D062B6">
        <w:rPr>
          <w:rFonts w:ascii="Calibri" w:hAnsi="Calibri"/>
          <w:noProof/>
          <w:sz w:val="22"/>
          <w:szCs w:val="22"/>
          <w:lang w:val="en-AU" w:eastAsia="en-AU"/>
        </w:rPr>
        <w:tab/>
      </w:r>
      <w:r>
        <w:rPr>
          <w:noProof/>
        </w:rPr>
        <w:t>Timing of Payments</w:t>
      </w:r>
      <w:r>
        <w:rPr>
          <w:noProof/>
        </w:rPr>
        <w:tab/>
      </w:r>
      <w:r>
        <w:rPr>
          <w:noProof/>
        </w:rPr>
        <w:fldChar w:fldCharType="begin"/>
      </w:r>
      <w:r>
        <w:rPr>
          <w:noProof/>
        </w:rPr>
        <w:instrText xml:space="preserve"> PAGEREF _Toc106600778 \h </w:instrText>
      </w:r>
      <w:r>
        <w:rPr>
          <w:noProof/>
        </w:rPr>
      </w:r>
      <w:r>
        <w:rPr>
          <w:noProof/>
        </w:rPr>
        <w:fldChar w:fldCharType="separate"/>
      </w:r>
      <w:r>
        <w:rPr>
          <w:noProof/>
        </w:rPr>
        <w:t>9</w:t>
      </w:r>
      <w:r>
        <w:rPr>
          <w:noProof/>
        </w:rPr>
        <w:fldChar w:fldCharType="end"/>
      </w:r>
    </w:p>
    <w:p w14:paraId="3BEE1C53" w14:textId="77777777" w:rsidR="002F6F4F" w:rsidRPr="00D062B6" w:rsidRDefault="002F6F4F">
      <w:pPr>
        <w:pStyle w:val="TOC1"/>
        <w:rPr>
          <w:rFonts w:ascii="Calibri" w:hAnsi="Calibri"/>
          <w:b w:val="0"/>
          <w:caps w:val="0"/>
          <w:noProof/>
          <w:sz w:val="22"/>
          <w:szCs w:val="22"/>
          <w:lang w:val="en-AU" w:eastAsia="en-AU"/>
        </w:rPr>
      </w:pPr>
      <w:r w:rsidRPr="001A3627">
        <w:rPr>
          <w:noProof/>
        </w:rPr>
        <w:t>13.</w:t>
      </w:r>
      <w:r w:rsidRPr="00D062B6">
        <w:rPr>
          <w:rFonts w:ascii="Calibri" w:hAnsi="Calibri"/>
          <w:b w:val="0"/>
          <w:caps w:val="0"/>
          <w:noProof/>
          <w:sz w:val="22"/>
          <w:szCs w:val="22"/>
          <w:lang w:val="en-AU" w:eastAsia="en-AU"/>
        </w:rPr>
        <w:tab/>
      </w:r>
      <w:r>
        <w:rPr>
          <w:noProof/>
        </w:rPr>
        <w:t>FINANCIAL HARDSHIP</w:t>
      </w:r>
      <w:r>
        <w:rPr>
          <w:noProof/>
        </w:rPr>
        <w:tab/>
      </w:r>
      <w:r>
        <w:rPr>
          <w:noProof/>
        </w:rPr>
        <w:fldChar w:fldCharType="begin"/>
      </w:r>
      <w:r>
        <w:rPr>
          <w:noProof/>
        </w:rPr>
        <w:instrText xml:space="preserve"> PAGEREF _Toc106600779 \h </w:instrText>
      </w:r>
      <w:r>
        <w:rPr>
          <w:noProof/>
        </w:rPr>
      </w:r>
      <w:r>
        <w:rPr>
          <w:noProof/>
        </w:rPr>
        <w:fldChar w:fldCharType="separate"/>
      </w:r>
      <w:r>
        <w:rPr>
          <w:noProof/>
        </w:rPr>
        <w:t>10</w:t>
      </w:r>
      <w:r>
        <w:rPr>
          <w:noProof/>
        </w:rPr>
        <w:fldChar w:fldCharType="end"/>
      </w:r>
    </w:p>
    <w:p w14:paraId="38C17D1C" w14:textId="77777777" w:rsidR="002F6F4F" w:rsidRPr="00D062B6" w:rsidRDefault="002F6F4F">
      <w:pPr>
        <w:pStyle w:val="TOC2"/>
        <w:rPr>
          <w:rFonts w:ascii="Calibri" w:hAnsi="Calibri"/>
          <w:noProof/>
          <w:sz w:val="22"/>
          <w:szCs w:val="22"/>
          <w:lang w:val="en-AU" w:eastAsia="en-AU"/>
        </w:rPr>
      </w:pPr>
      <w:r w:rsidRPr="001A3627">
        <w:rPr>
          <w:rFonts w:cs="Arial"/>
          <w:noProof/>
          <w:color w:val="555555"/>
          <w:lang w:val="en-AU" w:eastAsia="en-AU"/>
        </w:rPr>
        <w:t>13.1</w:t>
      </w:r>
      <w:r w:rsidRPr="00D062B6">
        <w:rPr>
          <w:rFonts w:ascii="Calibri" w:hAnsi="Calibri"/>
          <w:noProof/>
          <w:sz w:val="22"/>
          <w:szCs w:val="22"/>
          <w:lang w:val="en-AU" w:eastAsia="en-AU"/>
        </w:rPr>
        <w:tab/>
      </w:r>
      <w:r>
        <w:rPr>
          <w:noProof/>
        </w:rPr>
        <w:t>Introduction</w:t>
      </w:r>
      <w:r>
        <w:rPr>
          <w:noProof/>
        </w:rPr>
        <w:tab/>
      </w:r>
      <w:r>
        <w:rPr>
          <w:noProof/>
        </w:rPr>
        <w:fldChar w:fldCharType="begin"/>
      </w:r>
      <w:r>
        <w:rPr>
          <w:noProof/>
        </w:rPr>
        <w:instrText xml:space="preserve"> PAGEREF _Toc106600780 \h </w:instrText>
      </w:r>
      <w:r>
        <w:rPr>
          <w:noProof/>
        </w:rPr>
      </w:r>
      <w:r>
        <w:rPr>
          <w:noProof/>
        </w:rPr>
        <w:fldChar w:fldCharType="separate"/>
      </w:r>
      <w:r>
        <w:rPr>
          <w:noProof/>
        </w:rPr>
        <w:t>10</w:t>
      </w:r>
      <w:r>
        <w:rPr>
          <w:noProof/>
        </w:rPr>
        <w:fldChar w:fldCharType="end"/>
      </w:r>
    </w:p>
    <w:p w14:paraId="71E976A8" w14:textId="77777777" w:rsidR="002F6F4F" w:rsidRPr="00D062B6" w:rsidRDefault="002F6F4F">
      <w:pPr>
        <w:pStyle w:val="TOC2"/>
        <w:rPr>
          <w:rFonts w:ascii="Calibri" w:hAnsi="Calibri"/>
          <w:noProof/>
          <w:sz w:val="22"/>
          <w:szCs w:val="22"/>
          <w:lang w:val="en-AU" w:eastAsia="en-AU"/>
        </w:rPr>
      </w:pPr>
      <w:r w:rsidRPr="001A3627">
        <w:rPr>
          <w:noProof/>
          <w:lang w:val="en-AU" w:eastAsia="en-AU"/>
        </w:rPr>
        <w:t>13.2</w:t>
      </w:r>
      <w:r w:rsidRPr="00D062B6">
        <w:rPr>
          <w:rFonts w:ascii="Calibri" w:hAnsi="Calibri"/>
          <w:noProof/>
          <w:sz w:val="22"/>
          <w:szCs w:val="22"/>
          <w:lang w:val="en-AU" w:eastAsia="en-AU"/>
        </w:rPr>
        <w:tab/>
      </w:r>
      <w:r w:rsidRPr="001A3627">
        <w:rPr>
          <w:noProof/>
          <w:lang w:val="en-AU" w:eastAsia="en-AU"/>
        </w:rPr>
        <w:t>Our Approach</w:t>
      </w:r>
      <w:r>
        <w:rPr>
          <w:noProof/>
        </w:rPr>
        <w:tab/>
      </w:r>
      <w:r>
        <w:rPr>
          <w:noProof/>
        </w:rPr>
        <w:fldChar w:fldCharType="begin"/>
      </w:r>
      <w:r>
        <w:rPr>
          <w:noProof/>
        </w:rPr>
        <w:instrText xml:space="preserve"> PAGEREF _Toc106600781 \h </w:instrText>
      </w:r>
      <w:r>
        <w:rPr>
          <w:noProof/>
        </w:rPr>
      </w:r>
      <w:r>
        <w:rPr>
          <w:noProof/>
        </w:rPr>
        <w:fldChar w:fldCharType="separate"/>
      </w:r>
      <w:r>
        <w:rPr>
          <w:noProof/>
        </w:rPr>
        <w:t>10</w:t>
      </w:r>
      <w:r>
        <w:rPr>
          <w:noProof/>
        </w:rPr>
        <w:fldChar w:fldCharType="end"/>
      </w:r>
    </w:p>
    <w:p w14:paraId="247A02EB" w14:textId="77777777" w:rsidR="002F6F4F" w:rsidRPr="00D062B6" w:rsidRDefault="002F6F4F">
      <w:pPr>
        <w:pStyle w:val="TOC2"/>
        <w:rPr>
          <w:rFonts w:ascii="Calibri" w:hAnsi="Calibri"/>
          <w:noProof/>
          <w:sz w:val="22"/>
          <w:szCs w:val="22"/>
          <w:lang w:val="en-AU" w:eastAsia="en-AU"/>
        </w:rPr>
      </w:pPr>
      <w:r>
        <w:rPr>
          <w:noProof/>
        </w:rPr>
        <w:t>13.3</w:t>
      </w:r>
      <w:r w:rsidRPr="00D062B6">
        <w:rPr>
          <w:rFonts w:ascii="Calibri" w:hAnsi="Calibri"/>
          <w:noProof/>
          <w:sz w:val="22"/>
          <w:szCs w:val="22"/>
          <w:lang w:val="en-AU" w:eastAsia="en-AU"/>
        </w:rPr>
        <w:tab/>
      </w:r>
      <w:r>
        <w:rPr>
          <w:noProof/>
        </w:rPr>
        <w:t>Identifying Financial Hardship</w:t>
      </w:r>
      <w:r>
        <w:rPr>
          <w:noProof/>
        </w:rPr>
        <w:tab/>
      </w:r>
      <w:r>
        <w:rPr>
          <w:noProof/>
        </w:rPr>
        <w:fldChar w:fldCharType="begin"/>
      </w:r>
      <w:r>
        <w:rPr>
          <w:noProof/>
        </w:rPr>
        <w:instrText xml:space="preserve"> PAGEREF _Toc106600782 \h </w:instrText>
      </w:r>
      <w:r>
        <w:rPr>
          <w:noProof/>
        </w:rPr>
      </w:r>
      <w:r>
        <w:rPr>
          <w:noProof/>
        </w:rPr>
        <w:fldChar w:fldCharType="separate"/>
      </w:r>
      <w:r>
        <w:rPr>
          <w:noProof/>
        </w:rPr>
        <w:t>11</w:t>
      </w:r>
      <w:r>
        <w:rPr>
          <w:noProof/>
        </w:rPr>
        <w:fldChar w:fldCharType="end"/>
      </w:r>
    </w:p>
    <w:p w14:paraId="77CEBCD2" w14:textId="77777777" w:rsidR="002F6F4F" w:rsidRPr="00D062B6" w:rsidRDefault="002F6F4F">
      <w:pPr>
        <w:pStyle w:val="TOC2"/>
        <w:rPr>
          <w:rFonts w:ascii="Calibri" w:hAnsi="Calibri"/>
          <w:noProof/>
          <w:sz w:val="22"/>
          <w:szCs w:val="22"/>
          <w:lang w:val="en-AU" w:eastAsia="en-AU"/>
        </w:rPr>
      </w:pPr>
      <w:r>
        <w:rPr>
          <w:noProof/>
        </w:rPr>
        <w:t>13.4</w:t>
      </w:r>
      <w:r w:rsidRPr="00D062B6">
        <w:rPr>
          <w:rFonts w:ascii="Calibri" w:hAnsi="Calibri"/>
          <w:noProof/>
          <w:sz w:val="22"/>
          <w:szCs w:val="22"/>
          <w:lang w:val="en-AU" w:eastAsia="en-AU"/>
        </w:rPr>
        <w:tab/>
      </w:r>
      <w:r>
        <w:rPr>
          <w:noProof/>
        </w:rPr>
        <w:t>General Support and Advice</w:t>
      </w:r>
      <w:r>
        <w:rPr>
          <w:noProof/>
        </w:rPr>
        <w:tab/>
      </w:r>
      <w:r>
        <w:rPr>
          <w:noProof/>
        </w:rPr>
        <w:fldChar w:fldCharType="begin"/>
      </w:r>
      <w:r>
        <w:rPr>
          <w:noProof/>
        </w:rPr>
        <w:instrText xml:space="preserve"> PAGEREF _Toc106600783 \h </w:instrText>
      </w:r>
      <w:r>
        <w:rPr>
          <w:noProof/>
        </w:rPr>
      </w:r>
      <w:r>
        <w:rPr>
          <w:noProof/>
        </w:rPr>
        <w:fldChar w:fldCharType="separate"/>
      </w:r>
      <w:r>
        <w:rPr>
          <w:noProof/>
        </w:rPr>
        <w:t>11</w:t>
      </w:r>
      <w:r>
        <w:rPr>
          <w:noProof/>
        </w:rPr>
        <w:fldChar w:fldCharType="end"/>
      </w:r>
    </w:p>
    <w:p w14:paraId="512EC11E" w14:textId="77777777" w:rsidR="002F6F4F" w:rsidRPr="00D062B6" w:rsidRDefault="002F6F4F">
      <w:pPr>
        <w:pStyle w:val="TOC2"/>
        <w:rPr>
          <w:rFonts w:ascii="Calibri" w:hAnsi="Calibri"/>
          <w:noProof/>
          <w:sz w:val="22"/>
          <w:szCs w:val="22"/>
          <w:lang w:val="en-AU" w:eastAsia="en-AU"/>
        </w:rPr>
      </w:pPr>
      <w:r>
        <w:rPr>
          <w:noProof/>
        </w:rPr>
        <w:t>13.5</w:t>
      </w:r>
      <w:r w:rsidRPr="00D062B6">
        <w:rPr>
          <w:rFonts w:ascii="Calibri" w:hAnsi="Calibri"/>
          <w:noProof/>
          <w:sz w:val="22"/>
          <w:szCs w:val="22"/>
          <w:lang w:val="en-AU" w:eastAsia="en-AU"/>
        </w:rPr>
        <w:tab/>
      </w:r>
      <w:r>
        <w:rPr>
          <w:noProof/>
        </w:rPr>
        <w:t>Specific Financial Assistance</w:t>
      </w:r>
      <w:r>
        <w:rPr>
          <w:noProof/>
        </w:rPr>
        <w:tab/>
      </w:r>
      <w:r>
        <w:rPr>
          <w:noProof/>
        </w:rPr>
        <w:fldChar w:fldCharType="begin"/>
      </w:r>
      <w:r>
        <w:rPr>
          <w:noProof/>
        </w:rPr>
        <w:instrText xml:space="preserve"> PAGEREF _Toc106600784 \h </w:instrText>
      </w:r>
      <w:r>
        <w:rPr>
          <w:noProof/>
        </w:rPr>
      </w:r>
      <w:r>
        <w:rPr>
          <w:noProof/>
        </w:rPr>
        <w:fldChar w:fldCharType="separate"/>
      </w:r>
      <w:r>
        <w:rPr>
          <w:noProof/>
        </w:rPr>
        <w:t>13</w:t>
      </w:r>
      <w:r>
        <w:rPr>
          <w:noProof/>
        </w:rPr>
        <w:fldChar w:fldCharType="end"/>
      </w:r>
    </w:p>
    <w:p w14:paraId="09B38D6B" w14:textId="77777777" w:rsidR="00841A03" w:rsidRDefault="00841A03" w:rsidP="006E1C7B">
      <w:pPr>
        <w:pStyle w:val="TOC1"/>
        <w:sectPr w:rsidR="00841A03" w:rsidSect="005A7D4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20" w:footer="720" w:gutter="0"/>
          <w:cols w:space="720"/>
        </w:sectPr>
      </w:pPr>
      <w:r>
        <w:fldChar w:fldCharType="end"/>
      </w:r>
    </w:p>
    <w:p w14:paraId="4844FC77" w14:textId="77777777" w:rsidR="00841A03" w:rsidRPr="00B74C3F" w:rsidRDefault="00841A03" w:rsidP="00E10FE7">
      <w:pPr>
        <w:pStyle w:val="Heading1"/>
      </w:pPr>
      <w:bookmarkStart w:id="0" w:name="_Toc106600754"/>
      <w:r w:rsidRPr="00B74C3F">
        <w:lastRenderedPageBreak/>
        <w:t>introduction</w:t>
      </w:r>
      <w:bookmarkEnd w:id="0"/>
    </w:p>
    <w:p w14:paraId="19963CB8" w14:textId="77777777" w:rsidR="00841A03" w:rsidRDefault="009B05C0">
      <w:pPr>
        <w:pStyle w:val="BodyText"/>
      </w:pPr>
      <w:r>
        <w:t xml:space="preserve">Regulatory Guide 166 - Financial Requirements (RG166) </w:t>
      </w:r>
      <w:hyperlink r:id="rId14" w:history="1">
        <w:r>
          <w:rPr>
            <w:rStyle w:val="Hyperlink"/>
          </w:rPr>
          <w:t>RG166 - Financial Requirements</w:t>
        </w:r>
      </w:hyperlink>
      <w:r>
        <w:t xml:space="preserve"> places certain financial obligations on a business that holds a Financial Services License.</w:t>
      </w:r>
    </w:p>
    <w:p w14:paraId="33A4305E" w14:textId="77777777" w:rsidR="00841A03" w:rsidRDefault="00841A03">
      <w:pPr>
        <w:pStyle w:val="BodyText"/>
      </w:pPr>
      <w:r>
        <w:t xml:space="preserve">These conditions </w:t>
      </w:r>
      <w:proofErr w:type="gramStart"/>
      <w:r>
        <w:t>are further spelt</w:t>
      </w:r>
      <w:proofErr w:type="gramEnd"/>
      <w:r>
        <w:t xml:space="preserve"> out and clarified in the Licence Conditions imposed on us by ASIC.</w:t>
      </w:r>
    </w:p>
    <w:p w14:paraId="3CE0519A" w14:textId="77777777" w:rsidR="00841A03" w:rsidRDefault="00841A03">
      <w:pPr>
        <w:pStyle w:val="BodyText"/>
      </w:pPr>
      <w:r>
        <w:t xml:space="preserve">The requirements </w:t>
      </w:r>
      <w:proofErr w:type="gramStart"/>
      <w:r>
        <w:t>are intended</w:t>
      </w:r>
      <w:proofErr w:type="gramEnd"/>
      <w:r>
        <w:t xml:space="preserve"> to ensure the business has the financial resources to meet its obligation</w:t>
      </w:r>
      <w:r w:rsidR="00313491">
        <w:t>s</w:t>
      </w:r>
      <w:r>
        <w:t xml:space="preserve"> under the </w:t>
      </w:r>
      <w:r w:rsidR="00313491">
        <w:t>Corporations Act 2001 (The Act)</w:t>
      </w:r>
      <w:r>
        <w:t xml:space="preserve"> and reduce the risk of loss to our clients from the financial failure of our business.</w:t>
      </w:r>
      <w:bookmarkStart w:id="1" w:name="_Toc37475256"/>
    </w:p>
    <w:p w14:paraId="04A7576B" w14:textId="77777777" w:rsidR="00E610B0" w:rsidRDefault="00DA5FC1">
      <w:pPr>
        <w:pStyle w:val="BodyText"/>
      </w:pPr>
      <w:r>
        <w:t xml:space="preserve">The </w:t>
      </w:r>
      <w:r w:rsidR="00E610B0">
        <w:t xml:space="preserve">business also has an obligation to meet the requirements of the Payment Card Industry Data Storage Standards (PCI DSS) </w:t>
      </w:r>
      <w:hyperlink r:id="rId15" w:history="1">
        <w:r w:rsidR="003D4EF5">
          <w:rPr>
            <w:rStyle w:val="Hyperlink"/>
          </w:rPr>
          <w:t>Payment Card Industry Data Security Standard (PCI DSS)</w:t>
        </w:r>
      </w:hyperlink>
    </w:p>
    <w:p w14:paraId="22D14883" w14:textId="77777777" w:rsidR="004D6178" w:rsidRDefault="004D6178">
      <w:pPr>
        <w:pStyle w:val="BodyText"/>
      </w:pPr>
      <w:r>
        <w:t>As part of our commitment to being a good corporate citizen we also have an obligation to assist clients facing financial hardship.</w:t>
      </w:r>
    </w:p>
    <w:p w14:paraId="51D79C9C" w14:textId="77777777" w:rsidR="00841A03" w:rsidRDefault="00841A03" w:rsidP="00E10FE7">
      <w:pPr>
        <w:pStyle w:val="Heading1"/>
      </w:pPr>
      <w:bookmarkStart w:id="2" w:name="_Toc106600755"/>
      <w:r>
        <w:t>updates</w:t>
      </w:r>
      <w:bookmarkEnd w:id="1"/>
      <w:bookmarkEnd w:id="2"/>
    </w:p>
    <w:p w14:paraId="579FF066" w14:textId="77777777" w:rsidR="00841A03" w:rsidRDefault="00841A03">
      <w:pPr>
        <w:pStyle w:val="BodyText"/>
      </w:pPr>
      <w:r>
        <w:t>These Policy and Procedures are updated on a regular basis</w:t>
      </w:r>
      <w:proofErr w:type="gramStart"/>
      <w:r>
        <w:t xml:space="preserve">.  </w:t>
      </w:r>
      <w:proofErr w:type="gramEnd"/>
      <w:r>
        <w:t xml:space="preserve">Any material changes to these Policy and Procedures will be advised by management either via </w:t>
      </w:r>
      <w:proofErr w:type="gramStart"/>
      <w:r>
        <w:t>Email</w:t>
      </w:r>
      <w:proofErr w:type="gramEnd"/>
      <w:r>
        <w:t xml:space="preserve"> or at our regular Staff meetings.</w:t>
      </w:r>
    </w:p>
    <w:p w14:paraId="2DD67031" w14:textId="77777777" w:rsidR="00E70E07" w:rsidRPr="00E70E07" w:rsidRDefault="00E70E07" w:rsidP="00E70E07">
      <w:pPr>
        <w:pStyle w:val="BodyText"/>
      </w:pPr>
      <w:r w:rsidRPr="00E70E07">
        <w:t>This document and associated forms etc. are accessible in soft copy via our computer network</w:t>
      </w:r>
      <w:proofErr w:type="gramStart"/>
      <w:r w:rsidRPr="00E70E07">
        <w:t xml:space="preserve">.  </w:t>
      </w:r>
      <w:proofErr w:type="gramEnd"/>
      <w:r w:rsidRPr="00E70E07">
        <w:t>We do not store these documents in hard copy</w:t>
      </w:r>
      <w:proofErr w:type="gramStart"/>
      <w:r w:rsidRPr="00E70E07">
        <w:t xml:space="preserve">.  </w:t>
      </w:r>
      <w:proofErr w:type="gramEnd"/>
      <w:r w:rsidRPr="00E70E07">
        <w:t xml:space="preserve">All information can be immediately accessed on the computer network and </w:t>
      </w:r>
      <w:r w:rsidR="00AE6CD4" w:rsidRPr="00E70E07">
        <w:t xml:space="preserve">will always </w:t>
      </w:r>
      <w:proofErr w:type="gramStart"/>
      <w:r w:rsidR="00AE6CD4" w:rsidRPr="00E70E07">
        <w:t>be guaranteed</w:t>
      </w:r>
      <w:proofErr w:type="gramEnd"/>
      <w:r w:rsidR="00AE6CD4" w:rsidRPr="00E70E07">
        <w:t xml:space="preserve"> to be up to </w:t>
      </w:r>
      <w:r w:rsidR="00E82598" w:rsidRPr="00E70E07">
        <w:t>date.</w:t>
      </w:r>
    </w:p>
    <w:p w14:paraId="169ADA4D" w14:textId="77777777" w:rsidR="00841A03" w:rsidRDefault="00841A03">
      <w:pPr>
        <w:pStyle w:val="BodyText"/>
      </w:pPr>
      <w:r>
        <w:t xml:space="preserve">When you see an opportunity to improve a procedure kindly </w:t>
      </w:r>
      <w:proofErr w:type="gramStart"/>
      <w:r>
        <w:t>make the suggestion</w:t>
      </w:r>
      <w:proofErr w:type="gramEnd"/>
      <w:r>
        <w:t xml:space="preserve"> to your manager/supervisor as we all have a responsibility to improve our standards, individually and as a Company.</w:t>
      </w:r>
    </w:p>
    <w:p w14:paraId="4DB56EEC" w14:textId="77777777" w:rsidR="00841A03" w:rsidRDefault="00E610B0" w:rsidP="00E10FE7">
      <w:pPr>
        <w:pStyle w:val="Heading1"/>
      </w:pPr>
      <w:bookmarkStart w:id="3" w:name="_Toc106600756"/>
      <w:r>
        <w:t xml:space="preserve">FINANCIAL </w:t>
      </w:r>
      <w:r w:rsidR="00841A03">
        <w:t>Documentation</w:t>
      </w:r>
      <w:bookmarkEnd w:id="3"/>
    </w:p>
    <w:p w14:paraId="446D415B" w14:textId="77777777" w:rsidR="00841A03" w:rsidRDefault="00841A03">
      <w:pPr>
        <w:pStyle w:val="BodyText"/>
      </w:pPr>
      <w:r>
        <w:t xml:space="preserve">The management of our responsibilities under </w:t>
      </w:r>
      <w:r w:rsidR="003447BF">
        <w:t>RG166</w:t>
      </w:r>
      <w:r>
        <w:t xml:space="preserve"> will be based on the following documentation:</w:t>
      </w:r>
    </w:p>
    <w:p w14:paraId="2E710FEF" w14:textId="77777777" w:rsidR="00841A03" w:rsidRDefault="00841A03">
      <w:pPr>
        <w:pStyle w:val="BodyText"/>
        <w:numPr>
          <w:ilvl w:val="0"/>
          <w:numId w:val="34"/>
        </w:numPr>
        <w:tabs>
          <w:tab w:val="clear" w:pos="360"/>
          <w:tab w:val="num" w:pos="1134"/>
        </w:tabs>
        <w:ind w:left="1134" w:hanging="283"/>
      </w:pPr>
      <w:r>
        <w:t>A</w:t>
      </w:r>
      <w:r w:rsidR="00E70E07">
        <w:t>n</w:t>
      </w:r>
      <w:r>
        <w:t xml:space="preserve"> </w:t>
      </w:r>
      <w:r w:rsidR="003447BF">
        <w:t>RG166</w:t>
      </w:r>
      <w:r>
        <w:t xml:space="preserve"> Compliance Worksheet that calculates our current and projected Cash Position. </w:t>
      </w:r>
      <w:r w:rsidR="003447BF">
        <w:t>(</w:t>
      </w:r>
      <w:hyperlink r:id="rId16" w:history="1">
        <w:r w:rsidR="003D4EF5">
          <w:rPr>
            <w:rStyle w:val="Hyperlink"/>
          </w:rPr>
          <w:t>RG166 Compliance Worksheet</w:t>
        </w:r>
      </w:hyperlink>
      <w:r w:rsidR="003D4EF5">
        <w:t>)</w:t>
      </w:r>
      <w:r w:rsidR="005B5BEF">
        <w:t>.</w:t>
      </w:r>
    </w:p>
    <w:p w14:paraId="427D0F6D" w14:textId="77777777" w:rsidR="00841A03" w:rsidRDefault="00841A03">
      <w:pPr>
        <w:pStyle w:val="BodyText"/>
        <w:numPr>
          <w:ilvl w:val="0"/>
          <w:numId w:val="34"/>
        </w:numPr>
        <w:tabs>
          <w:tab w:val="clear" w:pos="360"/>
          <w:tab w:val="num" w:pos="1134"/>
        </w:tabs>
        <w:ind w:left="1134" w:hanging="283"/>
      </w:pPr>
      <w:r>
        <w:t>The annual Business Plan and Financial Budget</w:t>
      </w:r>
      <w:proofErr w:type="gramStart"/>
      <w:r>
        <w:t xml:space="preserve">.  </w:t>
      </w:r>
      <w:proofErr w:type="gramEnd"/>
      <w:r>
        <w:t xml:space="preserve">Information from the budget </w:t>
      </w:r>
      <w:proofErr w:type="gramStart"/>
      <w:r>
        <w:t>is fed</w:t>
      </w:r>
      <w:proofErr w:type="gramEnd"/>
      <w:r>
        <w:t xml:space="preserve"> into the worksheet.</w:t>
      </w:r>
    </w:p>
    <w:p w14:paraId="52C5AD00" w14:textId="77777777" w:rsidR="00841A03" w:rsidRDefault="00841A03">
      <w:pPr>
        <w:pStyle w:val="BodyText"/>
        <w:numPr>
          <w:ilvl w:val="0"/>
          <w:numId w:val="34"/>
        </w:numPr>
        <w:tabs>
          <w:tab w:val="clear" w:pos="360"/>
          <w:tab w:val="num" w:pos="1134"/>
        </w:tabs>
        <w:ind w:left="1134" w:hanging="283"/>
      </w:pPr>
      <w:r>
        <w:t>The monthly Profit and Loss and Trial Balance Reports produced by our Accounting Package Software</w:t>
      </w:r>
      <w:proofErr w:type="gramStart"/>
      <w:r>
        <w:t xml:space="preserve">.  </w:t>
      </w:r>
      <w:proofErr w:type="gramEnd"/>
      <w:r>
        <w:t xml:space="preserve">Information from the reports </w:t>
      </w:r>
      <w:proofErr w:type="gramStart"/>
      <w:r>
        <w:t>is fed</w:t>
      </w:r>
      <w:proofErr w:type="gramEnd"/>
      <w:r>
        <w:t xml:space="preserve"> into the worksheet.</w:t>
      </w:r>
    </w:p>
    <w:p w14:paraId="048AC221" w14:textId="77777777" w:rsidR="00841A03" w:rsidRDefault="00841A03">
      <w:pPr>
        <w:pStyle w:val="BodyText"/>
        <w:numPr>
          <w:ilvl w:val="0"/>
          <w:numId w:val="34"/>
        </w:numPr>
        <w:tabs>
          <w:tab w:val="clear" w:pos="360"/>
          <w:tab w:val="num" w:pos="1134"/>
        </w:tabs>
        <w:ind w:left="1134" w:hanging="283"/>
      </w:pPr>
      <w:r>
        <w:t>Audit Engagement Letter (</w:t>
      </w:r>
      <w:hyperlink r:id="rId17" w:history="1">
        <w:r w:rsidR="003D4EF5">
          <w:rPr>
            <w:rStyle w:val="Hyperlink"/>
          </w:rPr>
          <w:t>Audit Letter of Engagement Template</w:t>
        </w:r>
      </w:hyperlink>
      <w:r w:rsidR="003D4EF5">
        <w:t>)</w:t>
      </w:r>
    </w:p>
    <w:p w14:paraId="5A461965" w14:textId="77777777" w:rsidR="00841A03" w:rsidRDefault="00E610B0" w:rsidP="00E10FE7">
      <w:pPr>
        <w:pStyle w:val="Heading1"/>
      </w:pPr>
      <w:bookmarkStart w:id="4" w:name="_Toc106600757"/>
      <w:r>
        <w:lastRenderedPageBreak/>
        <w:t xml:space="preserve">FINANCIAL </w:t>
      </w:r>
      <w:r w:rsidR="00841A03">
        <w:t>requirements</w:t>
      </w:r>
      <w:bookmarkEnd w:id="4"/>
    </w:p>
    <w:p w14:paraId="4E491461" w14:textId="77777777" w:rsidR="00841A03" w:rsidRPr="00B74C3F" w:rsidRDefault="00841A03" w:rsidP="004D6178">
      <w:pPr>
        <w:pStyle w:val="Heading2"/>
      </w:pPr>
      <w:bookmarkStart w:id="5" w:name="_Toc106600758"/>
      <w:r w:rsidRPr="00B74C3F">
        <w:t>General Requirements</w:t>
      </w:r>
      <w:bookmarkEnd w:id="5"/>
    </w:p>
    <w:p w14:paraId="649F9B29" w14:textId="77777777" w:rsidR="00841A03" w:rsidRDefault="00841A03">
      <w:pPr>
        <w:pStyle w:val="BodyText"/>
      </w:pPr>
      <w:r>
        <w:t>The relevant</w:t>
      </w:r>
      <w:r w:rsidR="00E610B0">
        <w:t xml:space="preserve"> Corporations Act </w:t>
      </w:r>
      <w:r>
        <w:t>requirements for our business are that we must have:</w:t>
      </w:r>
    </w:p>
    <w:p w14:paraId="5A107080" w14:textId="77777777" w:rsidR="00841A03" w:rsidRDefault="00841A03">
      <w:pPr>
        <w:numPr>
          <w:ilvl w:val="0"/>
          <w:numId w:val="27"/>
        </w:numPr>
      </w:pPr>
      <w:r>
        <w:t>Risk management systems that address risk to financial resources.</w:t>
      </w:r>
    </w:p>
    <w:p w14:paraId="43B8BAF6" w14:textId="77777777" w:rsidR="00841A03" w:rsidRDefault="00841A03">
      <w:pPr>
        <w:numPr>
          <w:ilvl w:val="0"/>
          <w:numId w:val="27"/>
        </w:numPr>
      </w:pPr>
      <w:r>
        <w:t xml:space="preserve">Positive net assets </w:t>
      </w:r>
      <w:proofErr w:type="gramStart"/>
      <w:r>
        <w:t>and be</w:t>
      </w:r>
      <w:proofErr w:type="gramEnd"/>
      <w:r>
        <w:t xml:space="preserve"> solvent at all times</w:t>
      </w:r>
      <w:proofErr w:type="gramStart"/>
      <w:r>
        <w:t>.</w:t>
      </w:r>
      <w:r w:rsidR="00313491">
        <w:t xml:space="preserve">  </w:t>
      </w:r>
      <w:proofErr w:type="gramEnd"/>
      <w:r w:rsidR="00313491">
        <w:t xml:space="preserve">This test </w:t>
      </w:r>
      <w:proofErr w:type="gramStart"/>
      <w:r w:rsidR="00313491">
        <w:t>is done</w:t>
      </w:r>
      <w:proofErr w:type="gramEnd"/>
      <w:r w:rsidR="00313491">
        <w:t xml:space="preserve"> </w:t>
      </w:r>
      <w:r w:rsidR="00AE6CD4">
        <w:t>based on</w:t>
      </w:r>
      <w:r w:rsidR="00313491">
        <w:t xml:space="preserve"> total assets exceeding total liabilities or net adjusted assets exceeding net adjuste</w:t>
      </w:r>
      <w:r w:rsidR="002757A0">
        <w:t>d liabilities.</w:t>
      </w:r>
    </w:p>
    <w:p w14:paraId="20E94EC1" w14:textId="77777777" w:rsidR="00841A03" w:rsidRDefault="00841A03">
      <w:pPr>
        <w:numPr>
          <w:ilvl w:val="0"/>
          <w:numId w:val="27"/>
        </w:numPr>
      </w:pPr>
      <w:r>
        <w:t xml:space="preserve">Sufficient cash resources to cover the next 3 </w:t>
      </w:r>
      <w:proofErr w:type="gramStart"/>
      <w:r>
        <w:t>months</w:t>
      </w:r>
      <w:proofErr w:type="gramEnd"/>
      <w:r>
        <w:t xml:space="preserve"> expenses with adequate cover for contingencies.</w:t>
      </w:r>
    </w:p>
    <w:p w14:paraId="317EFE5B" w14:textId="77777777" w:rsidR="003A7922" w:rsidRDefault="003A7922" w:rsidP="00CD122A">
      <w:pPr>
        <w:numPr>
          <w:ilvl w:val="0"/>
          <w:numId w:val="27"/>
        </w:numPr>
      </w:pPr>
      <w:r>
        <w:t>P</w:t>
      </w:r>
      <w:r w:rsidR="00FE3B9D">
        <w:t xml:space="preserve">reparation of </w:t>
      </w:r>
      <w:proofErr w:type="gramStart"/>
      <w:r w:rsidR="00FE3B9D">
        <w:t>General Purpose</w:t>
      </w:r>
      <w:proofErr w:type="gramEnd"/>
      <w:r w:rsidR="00FE3B9D">
        <w:t xml:space="preserve"> </w:t>
      </w:r>
      <w:r w:rsidR="00E610B0">
        <w:t>Financial Statements</w:t>
      </w:r>
      <w:r>
        <w:t xml:space="preserve"> (Simplified Disclosure Standard) for the year ended 30/6/22 unless </w:t>
      </w:r>
      <w:r w:rsidR="002F6F4F">
        <w:t xml:space="preserve">the business prepared Special Purpose Financial Statements (SPFS) in 2020/21, in which case the business can prepare SPFS for the year ending June 22.  Note however that GPFS will be required to be adopted for </w:t>
      </w:r>
      <w:proofErr w:type="gramStart"/>
      <w:r w:rsidR="002F6F4F">
        <w:t>financial years</w:t>
      </w:r>
      <w:proofErr w:type="gramEnd"/>
      <w:r w:rsidR="002F6F4F">
        <w:t xml:space="preserve"> ending June 23 and beyond.</w:t>
      </w:r>
    </w:p>
    <w:p w14:paraId="6FF0C465" w14:textId="77777777" w:rsidR="00841A03" w:rsidRDefault="002F6F4F" w:rsidP="00CD122A">
      <w:pPr>
        <w:numPr>
          <w:ilvl w:val="0"/>
          <w:numId w:val="27"/>
        </w:numPr>
      </w:pPr>
      <w:r>
        <w:t>An a</w:t>
      </w:r>
      <w:r w:rsidR="00841A03">
        <w:t>nnual audit</w:t>
      </w:r>
      <w:r>
        <w:t xml:space="preserve"> conducted</w:t>
      </w:r>
      <w:r w:rsidR="00841A03">
        <w:t xml:space="preserve">, with </w:t>
      </w:r>
      <w:r w:rsidR="00FE3B9D">
        <w:t xml:space="preserve">forms FS 70 </w:t>
      </w:r>
      <w:r>
        <w:t>(</w:t>
      </w:r>
      <w:hyperlink r:id="rId18" w:history="1">
        <w:r>
          <w:rPr>
            <w:rStyle w:val="Hyperlink"/>
          </w:rPr>
          <w:t>ASIC FS70</w:t>
        </w:r>
      </w:hyperlink>
      <w:r>
        <w:t xml:space="preserve">) </w:t>
      </w:r>
      <w:r w:rsidR="00FE3B9D">
        <w:t xml:space="preserve">and FS71 </w:t>
      </w:r>
      <w:r>
        <w:t>(</w:t>
      </w:r>
      <w:hyperlink r:id="rId19" w:history="1">
        <w:r>
          <w:rPr>
            <w:rStyle w:val="Hyperlink"/>
          </w:rPr>
          <w:t>ASIC FS71</w:t>
        </w:r>
      </w:hyperlink>
      <w:r>
        <w:t xml:space="preserve">) </w:t>
      </w:r>
      <w:r w:rsidR="00841A03">
        <w:t xml:space="preserve">provided to ASIC </w:t>
      </w:r>
      <w:r w:rsidR="00FE3B9D">
        <w:t>by the 31</w:t>
      </w:r>
      <w:r w:rsidR="00FE3B9D" w:rsidRPr="003A7922">
        <w:rPr>
          <w:vertAlign w:val="superscript"/>
        </w:rPr>
        <w:t>st</w:t>
      </w:r>
      <w:r w:rsidR="00FE3B9D">
        <w:t xml:space="preserve"> October each year</w:t>
      </w:r>
      <w:r w:rsidR="00E610B0">
        <w:t xml:space="preserve"> (30</w:t>
      </w:r>
      <w:r w:rsidR="00E610B0" w:rsidRPr="003A7922">
        <w:rPr>
          <w:vertAlign w:val="superscript"/>
        </w:rPr>
        <w:t>th</w:t>
      </w:r>
      <w:r w:rsidR="00E610B0">
        <w:t xml:space="preserve"> September for individuals)</w:t>
      </w:r>
      <w:r w:rsidR="00FE3B9D">
        <w:t>.  These include</w:t>
      </w:r>
      <w:r w:rsidR="00841A03">
        <w:t xml:space="preserve"> confirmation of conformance with B and C above throughout the audit</w:t>
      </w:r>
      <w:r w:rsidR="00313491">
        <w:t xml:space="preserve"> period and the coming financial period</w:t>
      </w:r>
      <w:r w:rsidR="00841A03">
        <w:t>.</w:t>
      </w:r>
    </w:p>
    <w:p w14:paraId="02AB40A5" w14:textId="77777777" w:rsidR="009F6A4D" w:rsidRPr="00B74C3F" w:rsidRDefault="009F6A4D" w:rsidP="004D6178">
      <w:pPr>
        <w:pStyle w:val="Heading2"/>
      </w:pPr>
      <w:bookmarkStart w:id="6" w:name="_Toc106600759"/>
      <w:r w:rsidRPr="00B74C3F">
        <w:t>Managing Client Funds</w:t>
      </w:r>
      <w:r w:rsidR="003A7922">
        <w:t xml:space="preserve"> (Only Applies to Insurance Intermediaries)</w:t>
      </w:r>
      <w:bookmarkEnd w:id="6"/>
    </w:p>
    <w:p w14:paraId="7EDBA76B" w14:textId="77777777" w:rsidR="003A7922" w:rsidRDefault="003A7922" w:rsidP="003A7922">
      <w:pPr>
        <w:pStyle w:val="BodyText"/>
      </w:pPr>
      <w:r>
        <w:t>The Corporations Act Regulations 7.8.01 11-14 place a requirement on Licensees to transfer all fee and remuneration monies out of the Trust Account within one month of receipt, or as soon as possible after identification of non-client monies.</w:t>
      </w:r>
    </w:p>
    <w:p w14:paraId="4BB2BDE4" w14:textId="77777777" w:rsidR="003A7922" w:rsidRDefault="003A7922" w:rsidP="003A7922">
      <w:pPr>
        <w:pStyle w:val="BodyText"/>
      </w:pPr>
      <w:r>
        <w:t>The business (where involved in placing general insurance cover directly with overseas insurers) must also meet obligations in relation to the collection and payment of State Stamp Duties and Fire Emergency Services levies.</w:t>
      </w:r>
    </w:p>
    <w:p w14:paraId="232BB4B6" w14:textId="77777777" w:rsidR="003A7922" w:rsidRDefault="003A7922" w:rsidP="003A7922">
      <w:pPr>
        <w:pStyle w:val="BodyText"/>
      </w:pPr>
      <w:r>
        <w:t>We do not retain any client funds apart from those that may be receipted for insurance premiums</w:t>
      </w:r>
      <w:proofErr w:type="gramStart"/>
      <w:r>
        <w:t xml:space="preserve">.  </w:t>
      </w:r>
      <w:proofErr w:type="gramEnd"/>
      <w:r>
        <w:t>Any premium refunds or claim settlements received by the business are immediately passed on to the client.</w:t>
      </w:r>
    </w:p>
    <w:p w14:paraId="5EC07EA2" w14:textId="77777777" w:rsidR="009F6A4D" w:rsidRDefault="003A7922" w:rsidP="009F6A4D">
      <w:pPr>
        <w:pStyle w:val="BodyText"/>
      </w:pPr>
      <w:r>
        <w:t>A</w:t>
      </w:r>
      <w:r w:rsidR="009F6A4D" w:rsidRPr="009F6A4D">
        <w:t>ll premiums received by us are</w:t>
      </w:r>
      <w:r w:rsidR="009F6A4D">
        <w:t xml:space="preserve"> deemed to have been paid to the insurer due to the provisions of S985B of the Corporations Act</w:t>
      </w:r>
      <w:proofErr w:type="gramStart"/>
      <w:r w:rsidR="009F6A4D">
        <w:t xml:space="preserve">.  </w:t>
      </w:r>
      <w:proofErr w:type="gramEnd"/>
      <w:r w:rsidR="009F6A4D">
        <w:t>Nonetheless we will have in place a range of measures to manage client funds, including</w:t>
      </w:r>
      <w:r w:rsidR="00D21D1B">
        <w:t xml:space="preserve"> access and security measures.</w:t>
      </w:r>
    </w:p>
    <w:p w14:paraId="19C708DC" w14:textId="77777777" w:rsidR="009F6A4D" w:rsidRDefault="009F6A4D" w:rsidP="009F6A4D">
      <w:pPr>
        <w:pStyle w:val="BodyText"/>
      </w:pPr>
      <w:r>
        <w:t>Specific processes include:</w:t>
      </w:r>
    </w:p>
    <w:p w14:paraId="03ABAB01" w14:textId="77777777" w:rsidR="009F6A4D" w:rsidRDefault="009F6A4D" w:rsidP="009F6A4D">
      <w:pPr>
        <w:pStyle w:val="Bullet1"/>
      </w:pPr>
      <w:r>
        <w:t xml:space="preserve">The bank account operated by the business for the receipting of client funds </w:t>
      </w:r>
      <w:proofErr w:type="gramStart"/>
      <w:r>
        <w:t>is designated</w:t>
      </w:r>
      <w:proofErr w:type="gramEnd"/>
      <w:r>
        <w:t xml:space="preserve"> as a Trust Account.</w:t>
      </w:r>
    </w:p>
    <w:p w14:paraId="6BCBF8FD" w14:textId="77777777" w:rsidR="009F6A4D" w:rsidRDefault="009F6A4D" w:rsidP="009F6A4D">
      <w:pPr>
        <w:pStyle w:val="Bullet1"/>
      </w:pPr>
      <w:r>
        <w:t>Dual signatory requirement for all disbursements from the Trust Account</w:t>
      </w:r>
      <w:r w:rsidR="00E610B0">
        <w:t xml:space="preserve"> where required</w:t>
      </w:r>
      <w:r>
        <w:t>.</w:t>
      </w:r>
    </w:p>
    <w:p w14:paraId="0B1BE186" w14:textId="77777777" w:rsidR="009F6A4D" w:rsidRDefault="009F6A4D" w:rsidP="009F6A4D">
      <w:pPr>
        <w:pStyle w:val="Bullet1"/>
      </w:pPr>
      <w:r>
        <w:lastRenderedPageBreak/>
        <w:t>Monthly reconciliation of the Trust Bank Account to our Trust Accounting Records.</w:t>
      </w:r>
    </w:p>
    <w:p w14:paraId="47A77C77" w14:textId="77777777" w:rsidR="009F6A4D" w:rsidRDefault="009B05C0" w:rsidP="009F6A4D">
      <w:pPr>
        <w:pStyle w:val="Bullet1"/>
      </w:pPr>
      <w:r>
        <w:t>Separation of receipting and drawing client funds from the reconciliation function where practical or possible.</w:t>
      </w:r>
    </w:p>
    <w:p w14:paraId="7F5EB034" w14:textId="77777777" w:rsidR="009F6A4D" w:rsidRDefault="009F6A4D" w:rsidP="009F6A4D">
      <w:pPr>
        <w:pStyle w:val="Bullet1"/>
      </w:pPr>
      <w:r>
        <w:t xml:space="preserve">Requirement that all Licensee moneys to </w:t>
      </w:r>
      <w:proofErr w:type="gramStart"/>
      <w:r>
        <w:t>be transferred</w:t>
      </w:r>
      <w:proofErr w:type="gramEnd"/>
      <w:r>
        <w:t xml:space="preserve"> out of the Trust Account monthly.</w:t>
      </w:r>
    </w:p>
    <w:p w14:paraId="6E9AA5F6" w14:textId="77777777" w:rsidR="009F6A4D" w:rsidRDefault="009F6A4D" w:rsidP="009F6A4D">
      <w:pPr>
        <w:pStyle w:val="Bullet1"/>
      </w:pPr>
      <w:r>
        <w:t xml:space="preserve">Staff advised of </w:t>
      </w:r>
      <w:proofErr w:type="gramStart"/>
      <w:r>
        <w:t>requirement</w:t>
      </w:r>
      <w:proofErr w:type="gramEnd"/>
      <w:r>
        <w:t xml:space="preserve"> for banking at a minimum of every second day.</w:t>
      </w:r>
    </w:p>
    <w:p w14:paraId="3DDDBDF0" w14:textId="77777777" w:rsidR="009F6A4D" w:rsidRDefault="009F6A4D" w:rsidP="009F6A4D">
      <w:pPr>
        <w:pStyle w:val="Bullet1"/>
      </w:pPr>
      <w:r>
        <w:t xml:space="preserve">Remittance </w:t>
      </w:r>
      <w:proofErr w:type="gramStart"/>
      <w:r>
        <w:t>advices</w:t>
      </w:r>
      <w:proofErr w:type="gramEnd"/>
      <w:r>
        <w:t xml:space="preserve"> to </w:t>
      </w:r>
      <w:proofErr w:type="spellStart"/>
      <w:r>
        <w:t>non insurers</w:t>
      </w:r>
      <w:proofErr w:type="spellEnd"/>
      <w:r>
        <w:t xml:space="preserve"> include a note regarding the responsibilities for handling client money.</w:t>
      </w:r>
    </w:p>
    <w:p w14:paraId="7ECC657E" w14:textId="77777777" w:rsidR="009F6A4D" w:rsidRDefault="009F6A4D" w:rsidP="009F6A4D">
      <w:pPr>
        <w:pStyle w:val="Bullet1"/>
      </w:pPr>
      <w:r>
        <w:t xml:space="preserve">Systems in place that all insurers </w:t>
      </w:r>
      <w:proofErr w:type="gramStart"/>
      <w:r>
        <w:t>are paid</w:t>
      </w:r>
      <w:proofErr w:type="gramEnd"/>
      <w:r>
        <w:t xml:space="preserve"> within 90 days or earlier dependent on their Credit Terms with us.</w:t>
      </w:r>
    </w:p>
    <w:p w14:paraId="025E93A7" w14:textId="77777777" w:rsidR="00E610B0" w:rsidRDefault="00E610B0" w:rsidP="009F6A4D">
      <w:pPr>
        <w:pStyle w:val="Bullet1"/>
      </w:pPr>
      <w:r>
        <w:t>Payment of refunds to clients within 7 days of receipt from the insurer.</w:t>
      </w:r>
    </w:p>
    <w:p w14:paraId="01533155" w14:textId="2205EB7D" w:rsidR="00E610B0" w:rsidRDefault="00E610B0" w:rsidP="009F6A4D">
      <w:pPr>
        <w:pStyle w:val="Bullet1"/>
      </w:pPr>
      <w:r>
        <w:t xml:space="preserve">Advice to insurers of all debts over 90 days within 7 </w:t>
      </w:r>
      <w:r w:rsidR="00653585">
        <w:t>days</w:t>
      </w:r>
      <w:r>
        <w:t xml:space="preserve"> of the debt exceeding 90 days.</w:t>
      </w:r>
    </w:p>
    <w:p w14:paraId="6F983E2E" w14:textId="77777777" w:rsidR="009F6A4D" w:rsidRDefault="009F6A4D" w:rsidP="00E10FE7">
      <w:pPr>
        <w:pStyle w:val="Heading1"/>
      </w:pPr>
      <w:bookmarkStart w:id="7" w:name="_Toc106600760"/>
      <w:r>
        <w:t>Processes</w:t>
      </w:r>
      <w:bookmarkEnd w:id="7"/>
    </w:p>
    <w:p w14:paraId="3E96534E" w14:textId="77777777" w:rsidR="009F6A4D" w:rsidRPr="00B74C3F" w:rsidRDefault="009F6A4D" w:rsidP="004D6178">
      <w:pPr>
        <w:pStyle w:val="Heading2"/>
      </w:pPr>
      <w:bookmarkStart w:id="8" w:name="_Toc106600761"/>
      <w:r w:rsidRPr="00B74C3F">
        <w:t>Licence Related Issues</w:t>
      </w:r>
      <w:bookmarkEnd w:id="8"/>
    </w:p>
    <w:p w14:paraId="2806B406" w14:textId="77777777" w:rsidR="00841A03" w:rsidRDefault="00841A03">
      <w:pPr>
        <w:pStyle w:val="BodyText"/>
      </w:pPr>
      <w:r>
        <w:t xml:space="preserve">These requirements </w:t>
      </w:r>
      <w:proofErr w:type="gramStart"/>
      <w:r>
        <w:t>are met</w:t>
      </w:r>
      <w:proofErr w:type="gramEnd"/>
      <w:r>
        <w:t xml:space="preserve"> as follows:</w:t>
      </w:r>
    </w:p>
    <w:p w14:paraId="2435181B" w14:textId="77777777" w:rsidR="00841A03" w:rsidRDefault="00841A03">
      <w:pPr>
        <w:pStyle w:val="Bullet1"/>
      </w:pPr>
      <w:r>
        <w:t>Our Risk Management Policy and Procedures (</w:t>
      </w:r>
      <w:hyperlink r:id="rId20" w:history="1">
        <w:r w:rsidR="003D4EF5">
          <w:rPr>
            <w:rStyle w:val="Hyperlink"/>
          </w:rPr>
          <w:t>Risk Management Policy and Procedures</w:t>
        </w:r>
      </w:hyperlink>
      <w:r>
        <w:t>) addresses the risk to financial resources.</w:t>
      </w:r>
    </w:p>
    <w:p w14:paraId="23EA9A0E" w14:textId="77777777" w:rsidR="00841A03" w:rsidRDefault="00841A03">
      <w:pPr>
        <w:pStyle w:val="Bullet1"/>
      </w:pPr>
      <w:r>
        <w:t>Our Financial Management Processes and Reporting (detailed below) ensure the monthly monitoring of solvency.</w:t>
      </w:r>
    </w:p>
    <w:p w14:paraId="7A24C12E" w14:textId="77777777" w:rsidR="00841A03" w:rsidRDefault="00841A03">
      <w:pPr>
        <w:pStyle w:val="Bullet1"/>
      </w:pPr>
      <w:r>
        <w:t xml:space="preserve">Our Financial Management Processes and Reporting ensure the business will (for the next three months) have the necessary cash resources to meet the requirements of either Option 1 or Option 2 within </w:t>
      </w:r>
      <w:r w:rsidR="003447BF">
        <w:t>RG166</w:t>
      </w:r>
      <w:r>
        <w:t>.</w:t>
      </w:r>
    </w:p>
    <w:p w14:paraId="6F140775" w14:textId="77777777" w:rsidR="00841A03" w:rsidRDefault="00841A03">
      <w:pPr>
        <w:pStyle w:val="Bullet1"/>
      </w:pPr>
      <w:r>
        <w:t xml:space="preserve">An annual audit of the business </w:t>
      </w:r>
      <w:r w:rsidR="009F6A4D">
        <w:t xml:space="preserve">(including </w:t>
      </w:r>
      <w:r w:rsidR="00A501FD">
        <w:t xml:space="preserve">any relevant </w:t>
      </w:r>
      <w:r w:rsidR="009F6A4D">
        <w:t xml:space="preserve">the Trust Account) </w:t>
      </w:r>
      <w:proofErr w:type="gramStart"/>
      <w:r>
        <w:t>is conducted</w:t>
      </w:r>
      <w:proofErr w:type="gramEnd"/>
      <w:r>
        <w:t xml:space="preserve"> by an ASIC approved audit firm</w:t>
      </w:r>
      <w:r w:rsidR="00A501FD">
        <w:t>/auditor</w:t>
      </w:r>
      <w:r>
        <w:t xml:space="preserve"> and the Audit Letter of Engagement includes a standard clause as shown below.</w:t>
      </w:r>
    </w:p>
    <w:p w14:paraId="6E6EF62F" w14:textId="77777777" w:rsidR="00841A03" w:rsidRDefault="00841A03">
      <w:pPr>
        <w:pStyle w:val="BodyText"/>
      </w:pPr>
      <w:r>
        <w:t xml:space="preserve">In making an assessment on the required cash resources the business </w:t>
      </w:r>
      <w:proofErr w:type="gramStart"/>
      <w:r>
        <w:t>has to</w:t>
      </w:r>
      <w:proofErr w:type="gramEnd"/>
      <w:r>
        <w:t xml:space="preserve"> decide between adopting Option 1 or Option 2 within </w:t>
      </w:r>
      <w:r w:rsidR="003447BF">
        <w:t>RG166</w:t>
      </w:r>
      <w:r>
        <w:t xml:space="preserve">.  The Option used by the business </w:t>
      </w:r>
      <w:proofErr w:type="gramStart"/>
      <w:r>
        <w:t>is detailed</w:t>
      </w:r>
      <w:proofErr w:type="gramEnd"/>
      <w:r>
        <w:t xml:space="preserve"> in the Business Plan for the current year</w:t>
      </w:r>
      <w:r w:rsidR="00A501FD">
        <w:t xml:space="preserve"> and show</w:t>
      </w:r>
      <w:r w:rsidR="00AE6CD4">
        <w:t>n</w:t>
      </w:r>
      <w:r w:rsidR="00A501FD">
        <w:t xml:space="preserve"> on the RG166 worksheets used</w:t>
      </w:r>
      <w:r>
        <w:t>.</w:t>
      </w:r>
    </w:p>
    <w:p w14:paraId="31E74B75" w14:textId="77777777" w:rsidR="00841A03" w:rsidRDefault="00841A03" w:rsidP="004D6178">
      <w:pPr>
        <w:pStyle w:val="Heading2"/>
      </w:pPr>
      <w:bookmarkStart w:id="9" w:name="_Toc106600762"/>
      <w:r>
        <w:t>Option 1</w:t>
      </w:r>
      <w:bookmarkEnd w:id="9"/>
    </w:p>
    <w:p w14:paraId="11468E04" w14:textId="77777777" w:rsidR="00841A03" w:rsidRDefault="00841A03" w:rsidP="00C37FB0">
      <w:pPr>
        <w:pStyle w:val="BodyText"/>
      </w:pPr>
      <w:r>
        <w:t xml:space="preserve">Means that a business must </w:t>
      </w:r>
      <w:r w:rsidR="00AE6CD4">
        <w:t>always</w:t>
      </w:r>
      <w:r>
        <w:t xml:space="preserve"> have:</w:t>
      </w:r>
    </w:p>
    <w:p w14:paraId="5AC2E001" w14:textId="77777777" w:rsidR="00841A03" w:rsidRDefault="00C37FB0">
      <w:pPr>
        <w:pStyle w:val="Bullet1"/>
      </w:pPr>
      <w:r>
        <w:t>A</w:t>
      </w:r>
      <w:r w:rsidR="00841A03">
        <w:t xml:space="preserve"> cash inflow/outflow projection for the next three months that is based on reasonable assumptions. These assumptions are to be clearly identified, </w:t>
      </w:r>
      <w:proofErr w:type="gramStart"/>
      <w:r w:rsidR="00841A03">
        <w:t>documented</w:t>
      </w:r>
      <w:proofErr w:type="gramEnd"/>
      <w:r w:rsidR="00841A03">
        <w:t xml:space="preserve"> and supported within the Business Plan.</w:t>
      </w:r>
    </w:p>
    <w:p w14:paraId="01187B2E" w14:textId="77777777" w:rsidR="00841A03" w:rsidRDefault="00841A03">
      <w:pPr>
        <w:pStyle w:val="Bullet1"/>
      </w:pPr>
      <w:r>
        <w:t xml:space="preserve">Projections that show we have access to enough financial resources as needed to meet our liabilities </w:t>
      </w:r>
      <w:proofErr w:type="gramStart"/>
      <w:r>
        <w:t>plus</w:t>
      </w:r>
      <w:proofErr w:type="gramEnd"/>
    </w:p>
    <w:p w14:paraId="233A4E02" w14:textId="77777777" w:rsidR="00841A03" w:rsidRDefault="00841A03">
      <w:pPr>
        <w:pStyle w:val="Bullet1"/>
      </w:pPr>
      <w:r>
        <w:lastRenderedPageBreak/>
        <w:t xml:space="preserve">Cash or an ADI guarantee of access to cash or an ability to convert liquid business assets to cash within 5 days equal to 20 % of the greater of the expected cash outflow for the </w:t>
      </w:r>
      <w:r w:rsidR="00AE6CD4">
        <w:t>3-month</w:t>
      </w:r>
      <w:r>
        <w:t xml:space="preserve"> projection period or the prior </w:t>
      </w:r>
      <w:proofErr w:type="gramStart"/>
      <w:r>
        <w:t>financial years</w:t>
      </w:r>
      <w:proofErr w:type="gramEnd"/>
      <w:r>
        <w:t xml:space="preserve"> average </w:t>
      </w:r>
      <w:r w:rsidR="00E82598">
        <w:t>3-month</w:t>
      </w:r>
      <w:r>
        <w:t xml:space="preserve"> outflow.</w:t>
      </w:r>
    </w:p>
    <w:p w14:paraId="0ECF6258" w14:textId="77777777" w:rsidR="00841A03" w:rsidRDefault="00841A03" w:rsidP="004D6178">
      <w:pPr>
        <w:pStyle w:val="Heading2"/>
      </w:pPr>
      <w:bookmarkStart w:id="10" w:name="_Toc106600763"/>
      <w:r>
        <w:t>Option 2</w:t>
      </w:r>
      <w:bookmarkEnd w:id="10"/>
    </w:p>
    <w:p w14:paraId="44FC911D" w14:textId="77777777" w:rsidR="00841A03" w:rsidRDefault="00841A03" w:rsidP="00C37FB0">
      <w:pPr>
        <w:pStyle w:val="BodyText"/>
      </w:pPr>
      <w:r>
        <w:t xml:space="preserve">Means the business must </w:t>
      </w:r>
      <w:r w:rsidR="00AE6CD4">
        <w:t>always</w:t>
      </w:r>
      <w:r>
        <w:t xml:space="preserve"> have:</w:t>
      </w:r>
    </w:p>
    <w:p w14:paraId="2857DE24" w14:textId="77777777" w:rsidR="00841A03" w:rsidRDefault="00262A5E">
      <w:pPr>
        <w:pStyle w:val="Bullet1"/>
      </w:pPr>
      <w:r>
        <w:t>A</w:t>
      </w:r>
      <w:r w:rsidR="00841A03">
        <w:t xml:space="preserve"> cash inflow/outflow projection for the next three months that is based on reasonable assumptions and allows for adverse commercial contingencies. These assumptions are to be clearly identified, </w:t>
      </w:r>
      <w:proofErr w:type="gramStart"/>
      <w:r w:rsidR="00841A03">
        <w:t>documented</w:t>
      </w:r>
      <w:proofErr w:type="gramEnd"/>
      <w:r w:rsidR="00841A03">
        <w:t xml:space="preserve"> and supported within the Business Plan.</w:t>
      </w:r>
    </w:p>
    <w:p w14:paraId="4DF1C9B8" w14:textId="77777777" w:rsidR="00841A03" w:rsidRDefault="00841A03">
      <w:pPr>
        <w:pStyle w:val="Bullet1"/>
      </w:pPr>
      <w:proofErr w:type="gramStart"/>
      <w:r>
        <w:t>Projections that</w:t>
      </w:r>
      <w:proofErr w:type="gramEnd"/>
      <w:r>
        <w:t xml:space="preserve"> show we have access to enough financial resources as needed to meet our liabilities.</w:t>
      </w:r>
    </w:p>
    <w:p w14:paraId="4FD46BFD" w14:textId="77777777" w:rsidR="00841A03" w:rsidRDefault="00841A03">
      <w:pPr>
        <w:pStyle w:val="Bullet1"/>
      </w:pPr>
      <w:r>
        <w:t xml:space="preserve">At all </w:t>
      </w:r>
      <w:proofErr w:type="gramStart"/>
      <w:r>
        <w:t>times</w:t>
      </w:r>
      <w:proofErr w:type="gramEnd"/>
      <w:r>
        <w:t xml:space="preserve"> a cash inflow/outflow projection for the next three</w:t>
      </w:r>
      <w:r w:rsidR="00C37FB0">
        <w:t xml:space="preserve"> months.</w:t>
      </w:r>
    </w:p>
    <w:p w14:paraId="233FA214" w14:textId="2A13BDFB" w:rsidR="00300218" w:rsidRDefault="00300218">
      <w:pPr>
        <w:pStyle w:val="Bullet1"/>
      </w:pPr>
      <w:r>
        <w:t xml:space="preserve">If we are relying on prospective loan funds from directors </w:t>
      </w:r>
      <w:r w:rsidR="00653585">
        <w:t>etc.</w:t>
      </w:r>
      <w:r>
        <w:t>, we will usually have the loan commitment documented using the Loan Commitment for RG166 (</w:t>
      </w:r>
      <w:hyperlink r:id="rId21" w:history="1">
        <w:r w:rsidR="003D4EF5">
          <w:rPr>
            <w:rStyle w:val="Hyperlink"/>
          </w:rPr>
          <w:t>Loan Commitment for RG166</w:t>
        </w:r>
      </w:hyperlink>
      <w:r>
        <w:t>).</w:t>
      </w:r>
    </w:p>
    <w:p w14:paraId="5B399296" w14:textId="77777777" w:rsidR="00841A03" w:rsidRDefault="00841A03" w:rsidP="00E10FE7">
      <w:pPr>
        <w:pStyle w:val="Heading1"/>
      </w:pPr>
      <w:bookmarkStart w:id="11" w:name="_Toc106600764"/>
      <w:r>
        <w:t>Audit Engagement Letter</w:t>
      </w:r>
      <w:bookmarkEnd w:id="11"/>
    </w:p>
    <w:p w14:paraId="4AB95C9C" w14:textId="77777777" w:rsidR="00841A03" w:rsidRDefault="00841A03">
      <w:pPr>
        <w:pStyle w:val="BodyText"/>
      </w:pPr>
      <w:r>
        <w:t xml:space="preserve">To ensure that the auditor engaged </w:t>
      </w:r>
      <w:r w:rsidR="00262A5E">
        <w:t>t</w:t>
      </w:r>
      <w:r>
        <w:t>o perform our annual audit is familiar with all aspects of the requisite audit process we have developed a standard Audit Letter of Engagement (</w:t>
      </w:r>
      <w:hyperlink r:id="rId22" w:history="1">
        <w:r w:rsidR="003D4EF5">
          <w:rPr>
            <w:rStyle w:val="Hyperlink"/>
          </w:rPr>
          <w:t>Audit Letter of Engagement Template</w:t>
        </w:r>
      </w:hyperlink>
      <w:r>
        <w:t xml:space="preserve">) that is </w:t>
      </w:r>
      <w:r w:rsidR="00FE3B9D">
        <w:t xml:space="preserve">available to be </w:t>
      </w:r>
      <w:r>
        <w:t>provided to the auditor prior to the commencement of the audit process.</w:t>
      </w:r>
    </w:p>
    <w:p w14:paraId="44229786" w14:textId="77777777" w:rsidR="00A80D70" w:rsidRDefault="002D40FE" w:rsidP="00A80D70">
      <w:pPr>
        <w:pStyle w:val="BodyText"/>
      </w:pPr>
      <w:r>
        <w:t xml:space="preserve">The </w:t>
      </w:r>
      <w:r w:rsidR="00A80D70" w:rsidRPr="00A80D70">
        <w:t>Auditing and Assurance Standards Board have issued a guidance</w:t>
      </w:r>
      <w:r w:rsidR="00A80D70">
        <w:t xml:space="preserve"> statement providing direction to auditors on the requirements involved in auditing businesses that hold an Australian Financial Services License. (</w:t>
      </w:r>
      <w:hyperlink r:id="rId23" w:history="1">
        <w:r w:rsidR="00E15127">
          <w:rPr>
            <w:rStyle w:val="Hyperlink"/>
          </w:rPr>
          <w:t>Audit and Review Requirements for AFS Licensees - GS003</w:t>
        </w:r>
      </w:hyperlink>
      <w:r w:rsidR="00A80D70">
        <w:t>)</w:t>
      </w:r>
    </w:p>
    <w:p w14:paraId="7E1BDB20" w14:textId="77777777" w:rsidR="00865C33" w:rsidRDefault="00865C33" w:rsidP="00865C33">
      <w:pPr>
        <w:pStyle w:val="BodyText"/>
      </w:pPr>
      <w:r>
        <w:t>We also note that there are specific legal advice and procedural requirements where we wish to remove the auditor, or they wish to resign as auditor as detailed in ASIC Regulatory Guide 26</w:t>
      </w:r>
      <w:r w:rsidR="00B00541">
        <w:t xml:space="preserve"> </w:t>
      </w:r>
      <w:hyperlink r:id="rId24" w:history="1">
        <w:r w:rsidR="00B00541">
          <w:rPr>
            <w:rStyle w:val="Hyperlink"/>
          </w:rPr>
          <w:t>RG26 Resignation Removal and Replacement of Auditors</w:t>
        </w:r>
      </w:hyperlink>
    </w:p>
    <w:p w14:paraId="0DB2469A" w14:textId="77777777" w:rsidR="00865C33" w:rsidRDefault="00865C33" w:rsidP="00A80D70">
      <w:pPr>
        <w:pStyle w:val="BodyText"/>
      </w:pPr>
      <w:r>
        <w:t xml:space="preserve">Where we are requesting to have the auditor </w:t>
      </w:r>
      <w:r w:rsidR="00AE6CD4">
        <w:t>removed,</w:t>
      </w:r>
      <w:r>
        <w:t xml:space="preserve"> we must lodge an ASIC FS07 form</w:t>
      </w:r>
      <w:proofErr w:type="gramStart"/>
      <w:r>
        <w:t xml:space="preserve">.  </w:t>
      </w:r>
      <w:proofErr w:type="gramEnd"/>
      <w:r>
        <w:t xml:space="preserve">Where the auditor wishes to </w:t>
      </w:r>
      <w:r w:rsidR="00AE6CD4">
        <w:t>resign,</w:t>
      </w:r>
      <w:r>
        <w:t xml:space="preserve"> they must lodge an ASIC FS08 form</w:t>
      </w:r>
      <w:proofErr w:type="gramStart"/>
      <w:r>
        <w:t xml:space="preserve">.  </w:t>
      </w:r>
      <w:proofErr w:type="gramEnd"/>
      <w:r>
        <w:t>Once ASIC have approved the Removal/Resignation we must then lodge an FS06 form appointing the new auditor.</w:t>
      </w:r>
    </w:p>
    <w:p w14:paraId="0B4B2BAF" w14:textId="77777777" w:rsidR="00841A03" w:rsidRDefault="00841A03" w:rsidP="00E10FE7">
      <w:pPr>
        <w:pStyle w:val="Heading1"/>
      </w:pPr>
      <w:bookmarkStart w:id="12" w:name="_Toc106600765"/>
      <w:r>
        <w:t>Financial Management Processes</w:t>
      </w:r>
      <w:bookmarkEnd w:id="12"/>
    </w:p>
    <w:p w14:paraId="5DD792B8" w14:textId="77777777" w:rsidR="00841A03" w:rsidRDefault="00841A03">
      <w:pPr>
        <w:pStyle w:val="BodyText"/>
      </w:pPr>
      <w:r>
        <w:t xml:space="preserve">The Financial Management processes of the business are designed to ensure the business </w:t>
      </w:r>
      <w:r w:rsidR="00AE6CD4">
        <w:t>can</w:t>
      </w:r>
      <w:r>
        <w:t xml:space="preserve"> accurately assess its financial position </w:t>
      </w:r>
      <w:proofErr w:type="gramStart"/>
      <w:r>
        <w:t>on a monthly basis</w:t>
      </w:r>
      <w:proofErr w:type="gramEnd"/>
      <w:r>
        <w:t xml:space="preserve"> and to protect the financial assets of the business.</w:t>
      </w:r>
    </w:p>
    <w:p w14:paraId="322474E3" w14:textId="77777777" w:rsidR="00841A03" w:rsidRDefault="00841A03">
      <w:pPr>
        <w:pStyle w:val="BodyText"/>
      </w:pPr>
      <w:r>
        <w:t>The maintenance and operation of the Profit and Loss and General Ledger accounts of the business are performed by a combination of internal accounting and outsourced resources</w:t>
      </w:r>
      <w:proofErr w:type="gramStart"/>
      <w:r>
        <w:t xml:space="preserve">.  </w:t>
      </w:r>
      <w:proofErr w:type="gramEnd"/>
      <w:r>
        <w:t>Any outsourcing of accounting resources must comply with our Outsourcing Policy and Procedures</w:t>
      </w:r>
      <w:proofErr w:type="gramStart"/>
      <w:r>
        <w:t xml:space="preserve">.  </w:t>
      </w:r>
      <w:proofErr w:type="gramEnd"/>
      <w:r>
        <w:t>(</w:t>
      </w:r>
      <w:hyperlink r:id="rId25" w:history="1">
        <w:r w:rsidR="00103516">
          <w:rPr>
            <w:rStyle w:val="Hyperlink"/>
          </w:rPr>
          <w:t>Outsourcing Policy and Procedures</w:t>
        </w:r>
      </w:hyperlink>
      <w:r>
        <w:t>)</w:t>
      </w:r>
    </w:p>
    <w:p w14:paraId="3BA4EC5A" w14:textId="77777777" w:rsidR="00841A03" w:rsidRDefault="00841A03">
      <w:pPr>
        <w:pStyle w:val="BodyText"/>
      </w:pPr>
      <w:r>
        <w:lastRenderedPageBreak/>
        <w:t>All payments, either for expenses or capital purchases are raised via documented requisitions (</w:t>
      </w:r>
      <w:hyperlink r:id="rId26" w:history="1">
        <w:r w:rsidR="00103516">
          <w:rPr>
            <w:rStyle w:val="Hyperlink"/>
          </w:rPr>
          <w:t>Cheque Requisition Form</w:t>
        </w:r>
      </w:hyperlink>
      <w:r>
        <w:t>) or invoices and individual limits and authorities for expense and capital payments of the business are in place in each staff members Position Description</w:t>
      </w:r>
      <w:r w:rsidR="00FE3B9D">
        <w:t xml:space="preserve"> (where implemented)</w:t>
      </w:r>
      <w:r>
        <w:t>.</w:t>
      </w:r>
    </w:p>
    <w:p w14:paraId="410C01E7" w14:textId="77777777" w:rsidR="00841A03" w:rsidRDefault="00841A03">
      <w:pPr>
        <w:pStyle w:val="BodyText"/>
      </w:pPr>
      <w:r>
        <w:t xml:space="preserve">We are responsible for the monitoring of the income generated by the business and the </w:t>
      </w:r>
      <w:proofErr w:type="gramStart"/>
      <w:r>
        <w:t>follow up</w:t>
      </w:r>
      <w:proofErr w:type="gramEnd"/>
      <w:r>
        <w:t xml:space="preserve"> of any significant outstanding payments</w:t>
      </w:r>
      <w:proofErr w:type="gramStart"/>
      <w:r>
        <w:t xml:space="preserve">.  </w:t>
      </w:r>
      <w:proofErr w:type="gramEnd"/>
      <w:r>
        <w:t xml:space="preserve">We are also responsible for the </w:t>
      </w:r>
      <w:proofErr w:type="gramStart"/>
      <w:r>
        <w:t>day to day</w:t>
      </w:r>
      <w:proofErr w:type="gramEnd"/>
      <w:r>
        <w:t xml:space="preserve"> </w:t>
      </w:r>
      <w:r w:rsidR="00AE6CD4">
        <w:t>debtors’</w:t>
      </w:r>
      <w:r>
        <w:t xml:space="preserve"> function for business collectables.</w:t>
      </w:r>
    </w:p>
    <w:p w14:paraId="04B1C028" w14:textId="77777777" w:rsidR="00841A03" w:rsidRDefault="00841A03">
      <w:pPr>
        <w:pStyle w:val="BodyText"/>
      </w:pPr>
      <w:r>
        <w:t>All business income and expense transactions are entered into our accounting package software on a weekly/monthly basis</w:t>
      </w:r>
      <w:proofErr w:type="gramStart"/>
      <w:r>
        <w:t xml:space="preserve">.  </w:t>
      </w:r>
      <w:proofErr w:type="gramEnd"/>
      <w:r>
        <w:t>Wherever possible all payments are to be managed by a “dual signature system</w:t>
      </w:r>
      <w:proofErr w:type="gramStart"/>
      <w:r>
        <w:t>”.</w:t>
      </w:r>
      <w:proofErr w:type="gramEnd"/>
    </w:p>
    <w:p w14:paraId="32256BB7" w14:textId="77777777" w:rsidR="00841A03" w:rsidRDefault="00841A03">
      <w:pPr>
        <w:pStyle w:val="BodyText"/>
      </w:pPr>
      <w:r>
        <w:t xml:space="preserve">Early in each calendar year we prepare a </w:t>
      </w:r>
      <w:r w:rsidR="00AE6CD4">
        <w:t>12-month</w:t>
      </w:r>
      <w:r>
        <w:t xml:space="preserve"> cash flow budget as part of the annual Business Plan that is produced for each </w:t>
      </w:r>
      <w:proofErr w:type="gramStart"/>
      <w:r>
        <w:t>financial year</w:t>
      </w:r>
      <w:proofErr w:type="gramEnd"/>
      <w:r>
        <w:t xml:space="preserve"> (July to June).  The Business Plan addresses Capital Purchases and Sales, Dividend </w:t>
      </w:r>
      <w:proofErr w:type="gramStart"/>
      <w:r>
        <w:t>Payments</w:t>
      </w:r>
      <w:proofErr w:type="gramEnd"/>
      <w:r>
        <w:t xml:space="preserve"> and other Business Cash flows apart from those generated from within the business.</w:t>
      </w:r>
    </w:p>
    <w:p w14:paraId="60A21343" w14:textId="77777777" w:rsidR="00841A03" w:rsidRDefault="00841A03">
      <w:pPr>
        <w:pStyle w:val="BodyText"/>
      </w:pPr>
      <w:r>
        <w:t xml:space="preserve">Any significant changes in the current or future financial situation of the business that </w:t>
      </w:r>
      <w:proofErr w:type="gramStart"/>
      <w:r>
        <w:t>are not catered</w:t>
      </w:r>
      <w:proofErr w:type="gramEnd"/>
      <w:r>
        <w:t xml:space="preserve"> for within the Business Plan require an updated cash flow budget to be prepared.</w:t>
      </w:r>
    </w:p>
    <w:p w14:paraId="44C9CBA1" w14:textId="77777777" w:rsidR="00841A03" w:rsidRDefault="00841A03" w:rsidP="00E10FE7">
      <w:pPr>
        <w:pStyle w:val="Heading1"/>
      </w:pPr>
      <w:bookmarkStart w:id="13" w:name="_Toc106600766"/>
      <w:r>
        <w:t>FINANCIAL MANAGEMENT REPORTING</w:t>
      </w:r>
      <w:bookmarkEnd w:id="13"/>
    </w:p>
    <w:p w14:paraId="0C95B49C" w14:textId="77777777" w:rsidR="00841A03" w:rsidRDefault="00841A03">
      <w:pPr>
        <w:pStyle w:val="BodyText"/>
      </w:pPr>
      <w:r>
        <w:t xml:space="preserve">We produce a monthly and </w:t>
      </w:r>
      <w:proofErr w:type="gramStart"/>
      <w:r>
        <w:t>year to date</w:t>
      </w:r>
      <w:proofErr w:type="gramEnd"/>
      <w:r>
        <w:t xml:space="preserve"> </w:t>
      </w:r>
      <w:proofErr w:type="gramStart"/>
      <w:r>
        <w:t>cash based</w:t>
      </w:r>
      <w:proofErr w:type="gramEnd"/>
      <w:r>
        <w:t xml:space="preserve"> Profit and Loss statement, together with a Trial Balance.  These reports </w:t>
      </w:r>
      <w:proofErr w:type="gramStart"/>
      <w:r>
        <w:t>are usually made</w:t>
      </w:r>
      <w:proofErr w:type="gramEnd"/>
      <w:r>
        <w:t xml:space="preserve"> available within 15 days of the close of each month and include bank account balances and reconciliation.</w:t>
      </w:r>
    </w:p>
    <w:p w14:paraId="663E8555" w14:textId="77777777" w:rsidR="00841A03" w:rsidRDefault="00841A03">
      <w:pPr>
        <w:pStyle w:val="BodyText"/>
      </w:pPr>
      <w:r>
        <w:t>This report includes a comparison of actual results to budget to enable the management of the business to monitor the financial results of the business achieved compared to the business plans.</w:t>
      </w:r>
    </w:p>
    <w:p w14:paraId="078E04B8" w14:textId="77777777" w:rsidR="00841A03" w:rsidRDefault="00841A03">
      <w:pPr>
        <w:pStyle w:val="BodyText"/>
      </w:pPr>
      <w:r>
        <w:t xml:space="preserve">The information contained in this report, together with our budgeted cash flow, Bank Account balances, Cash access facilities and </w:t>
      </w:r>
      <w:proofErr w:type="spellStart"/>
      <w:proofErr w:type="gramStart"/>
      <w:r>
        <w:t>non operational</w:t>
      </w:r>
      <w:proofErr w:type="spellEnd"/>
      <w:proofErr w:type="gramEnd"/>
      <w:r>
        <w:t xml:space="preserve"> cash withdrawals are fed into our </w:t>
      </w:r>
      <w:r w:rsidR="003447BF">
        <w:t>RG166</w:t>
      </w:r>
      <w:r>
        <w:t xml:space="preserve"> Compliance Worksheet that is used to confirm compliance with </w:t>
      </w:r>
      <w:r w:rsidR="003447BF">
        <w:t>RG166</w:t>
      </w:r>
      <w:r>
        <w:t>.</w:t>
      </w:r>
    </w:p>
    <w:p w14:paraId="6E57BD77" w14:textId="77777777" w:rsidR="00841A03" w:rsidRDefault="00841A03">
      <w:pPr>
        <w:pStyle w:val="BodyText"/>
      </w:pPr>
      <w:r>
        <w:t xml:space="preserve">This worksheet </w:t>
      </w:r>
      <w:proofErr w:type="gramStart"/>
      <w:r>
        <w:t>is made</w:t>
      </w:r>
      <w:proofErr w:type="gramEnd"/>
      <w:r>
        <w:t xml:space="preserve"> available to the </w:t>
      </w:r>
      <w:r w:rsidR="00943F47">
        <w:t>Responsible Manager</w:t>
      </w:r>
      <w:r>
        <w:t>(s) within 25 days of the close of the month.</w:t>
      </w:r>
    </w:p>
    <w:p w14:paraId="370C6808" w14:textId="77777777" w:rsidR="00841A03" w:rsidRDefault="00841A03">
      <w:pPr>
        <w:pStyle w:val="BodyText"/>
      </w:pPr>
      <w:r>
        <w:t xml:space="preserve">This monthly worksheet, together with supporting documentation </w:t>
      </w:r>
      <w:proofErr w:type="gramStart"/>
      <w:r>
        <w:t>is filed</w:t>
      </w:r>
      <w:proofErr w:type="gramEnd"/>
      <w:r>
        <w:t xml:space="preserve"> in our office for review by the auditor.</w:t>
      </w:r>
    </w:p>
    <w:p w14:paraId="71FFC0A9" w14:textId="77777777" w:rsidR="00841A03" w:rsidRDefault="00841A03" w:rsidP="00E10FE7">
      <w:pPr>
        <w:pStyle w:val="Heading1"/>
      </w:pPr>
      <w:bookmarkStart w:id="14" w:name="_Toc106600767"/>
      <w:r>
        <w:t>ASIC Returns</w:t>
      </w:r>
      <w:bookmarkEnd w:id="14"/>
    </w:p>
    <w:p w14:paraId="7B8F17B7" w14:textId="77777777" w:rsidR="009B05C0" w:rsidRDefault="009B05C0" w:rsidP="004D6178">
      <w:pPr>
        <w:pStyle w:val="Heading2"/>
      </w:pPr>
      <w:bookmarkStart w:id="15" w:name="_Toc106600768"/>
      <w:r>
        <w:t>Audits</w:t>
      </w:r>
      <w:bookmarkEnd w:id="15"/>
    </w:p>
    <w:p w14:paraId="3B8DBF4B" w14:textId="77777777" w:rsidR="003625F8" w:rsidRDefault="00841A03">
      <w:pPr>
        <w:pStyle w:val="BodyText"/>
      </w:pPr>
      <w:r>
        <w:t xml:space="preserve">Audited Financial Statements must </w:t>
      </w:r>
      <w:proofErr w:type="gramStart"/>
      <w:r>
        <w:t>be lodged</w:t>
      </w:r>
      <w:proofErr w:type="gramEnd"/>
      <w:r>
        <w:t xml:space="preserve"> with ASIC no more than </w:t>
      </w:r>
      <w:r w:rsidR="00DD399D">
        <w:t>4</w:t>
      </w:r>
      <w:r>
        <w:t xml:space="preserve"> months after the end of the Financial Year</w:t>
      </w:r>
      <w:r w:rsidR="00DD399D">
        <w:t xml:space="preserve"> </w:t>
      </w:r>
      <w:r w:rsidR="003625F8">
        <w:t>(3 months for sole trade Licensees).</w:t>
      </w:r>
    </w:p>
    <w:p w14:paraId="47F064CE" w14:textId="77777777" w:rsidR="00841A03" w:rsidRDefault="00841A03">
      <w:pPr>
        <w:pStyle w:val="BodyText"/>
      </w:pPr>
      <w:r>
        <w:t xml:space="preserve">The forms required to be completed for this process are ASIC </w:t>
      </w:r>
      <w:hyperlink r:id="rId27" w:history="1">
        <w:r>
          <w:rPr>
            <w:rStyle w:val="Hyperlink"/>
          </w:rPr>
          <w:t>FS70</w:t>
        </w:r>
      </w:hyperlink>
      <w:r>
        <w:t xml:space="preserve"> </w:t>
      </w:r>
      <w:r w:rsidR="00B42FDF">
        <w:t xml:space="preserve">(Licensee) </w:t>
      </w:r>
      <w:r>
        <w:t xml:space="preserve">and ASIC </w:t>
      </w:r>
      <w:hyperlink r:id="rId28" w:history="1">
        <w:r>
          <w:rPr>
            <w:rStyle w:val="Hyperlink"/>
          </w:rPr>
          <w:t>FS71</w:t>
        </w:r>
      </w:hyperlink>
      <w:r w:rsidR="00B42FDF">
        <w:t xml:space="preserve"> (Auditor)</w:t>
      </w:r>
      <w:r>
        <w:t>.</w:t>
      </w:r>
    </w:p>
    <w:p w14:paraId="6C581464" w14:textId="77777777" w:rsidR="00841A03" w:rsidRDefault="00841A03">
      <w:pPr>
        <w:pStyle w:val="BodyText"/>
      </w:pPr>
      <w:r>
        <w:lastRenderedPageBreak/>
        <w:t xml:space="preserve">The forms contain all relevant guidance for their completion and can </w:t>
      </w:r>
      <w:proofErr w:type="gramStart"/>
      <w:r>
        <w:t>be submitted</w:t>
      </w:r>
      <w:proofErr w:type="gramEnd"/>
      <w:r>
        <w:t xml:space="preserve"> either electronically or via hardcopy in the mail.</w:t>
      </w:r>
    </w:p>
    <w:p w14:paraId="0A132D34" w14:textId="77777777" w:rsidR="009B05C0" w:rsidRDefault="009B05C0" w:rsidP="004D6178">
      <w:pPr>
        <w:pStyle w:val="Heading2"/>
      </w:pPr>
      <w:bookmarkStart w:id="16" w:name="_Toc106600769"/>
      <w:r>
        <w:t>Business Metrics</w:t>
      </w:r>
      <w:bookmarkEnd w:id="16"/>
    </w:p>
    <w:p w14:paraId="1CB9D486" w14:textId="77777777" w:rsidR="009B05C0" w:rsidRDefault="009B05C0" w:rsidP="009B05C0">
      <w:pPr>
        <w:pStyle w:val="BodyText"/>
      </w:pPr>
      <w:r>
        <w:t xml:space="preserve">The ASIC Supervisory Cost Recovery Levy Act 2017 requires all AFSL’s to lodge key business metrics with ASIC on an annual basis to enable ASIC to calculate the Fee that is to </w:t>
      </w:r>
      <w:proofErr w:type="gramStart"/>
      <w:r>
        <w:t>be charged</w:t>
      </w:r>
      <w:proofErr w:type="gramEnd"/>
      <w:r>
        <w:t xml:space="preserve"> to each AFSL to cover ASIC’s costs of regulating AFSL’s.</w:t>
      </w:r>
    </w:p>
    <w:p w14:paraId="201AC7BD" w14:textId="77777777" w:rsidR="009B05C0" w:rsidRDefault="009B05C0" w:rsidP="009B05C0">
      <w:pPr>
        <w:pStyle w:val="BodyText"/>
      </w:pPr>
      <w:r>
        <w:t>The annual returns are due in September each year</w:t>
      </w:r>
      <w:proofErr w:type="gramStart"/>
      <w:r>
        <w:t xml:space="preserve">.  </w:t>
      </w:r>
      <w:proofErr w:type="gramEnd"/>
      <w:r>
        <w:t xml:space="preserve">The information required to </w:t>
      </w:r>
      <w:proofErr w:type="gramStart"/>
      <w:r>
        <w:t>be provided</w:t>
      </w:r>
      <w:proofErr w:type="gramEnd"/>
      <w:r>
        <w:t xml:space="preserve"> is dependent on which sector of the Financial Services industry the AFSL operates in and what ASIC have determined are the key drivers of their </w:t>
      </w:r>
      <w:proofErr w:type="gramStart"/>
      <w:r>
        <w:t>cost of</w:t>
      </w:r>
      <w:proofErr w:type="gramEnd"/>
      <w:r>
        <w:t xml:space="preserve"> regulation.</w:t>
      </w:r>
    </w:p>
    <w:p w14:paraId="3E6D53D5" w14:textId="77777777" w:rsidR="009B05C0" w:rsidRPr="009B05C0" w:rsidRDefault="009B05C0" w:rsidP="009B05C0">
      <w:pPr>
        <w:pStyle w:val="BodyText"/>
      </w:pPr>
      <w:r>
        <w:t xml:space="preserve">ASIC </w:t>
      </w:r>
      <w:proofErr w:type="gramStart"/>
      <w:r>
        <w:t>send</w:t>
      </w:r>
      <w:proofErr w:type="gramEnd"/>
      <w:r>
        <w:t xml:space="preserve"> correspondence to the AFSL each year requesting such information.</w:t>
      </w:r>
    </w:p>
    <w:p w14:paraId="0335F8BC" w14:textId="77777777" w:rsidR="000F7A38" w:rsidRDefault="000F7A38" w:rsidP="00E10FE7">
      <w:pPr>
        <w:pStyle w:val="Heading1"/>
      </w:pPr>
      <w:bookmarkStart w:id="17" w:name="_Toc106600770"/>
      <w:r>
        <w:t>CREDIT CARD Payment SURCHARGE</w:t>
      </w:r>
      <w:bookmarkEnd w:id="17"/>
    </w:p>
    <w:p w14:paraId="4893FC6B" w14:textId="77777777" w:rsidR="000F7A38" w:rsidRDefault="000F7A38" w:rsidP="000F7A38">
      <w:pPr>
        <w:pStyle w:val="BodyText"/>
        <w:rPr>
          <w:lang w:val="en-AU"/>
        </w:rPr>
      </w:pPr>
      <w:r>
        <w:rPr>
          <w:lang w:val="en-AU"/>
        </w:rPr>
        <w:t>The Competition and Consumer Amendment (Payment Surcharges) Act 2016 applies to Small Business restricts the amount able to be charged to clients for Credit Card transactions to the “Cost of Acceptance” of the Credit Card payment plus specific costs such as Merchant Service fees, Equipment Rental etc.</w:t>
      </w:r>
    </w:p>
    <w:p w14:paraId="70477095" w14:textId="77777777" w:rsidR="000F7A38" w:rsidRDefault="000F7A38" w:rsidP="000F7A38">
      <w:pPr>
        <w:pStyle w:val="BodyText"/>
        <w:rPr>
          <w:lang w:val="en-AU"/>
        </w:rPr>
      </w:pPr>
      <w:r>
        <w:rPr>
          <w:lang w:val="en-AU"/>
        </w:rPr>
        <w:t>The Act applies to Visa, Master</w:t>
      </w:r>
      <w:r w:rsidR="00305380">
        <w:rPr>
          <w:lang w:val="en-AU"/>
        </w:rPr>
        <w:t>C</w:t>
      </w:r>
      <w:r>
        <w:rPr>
          <w:lang w:val="en-AU"/>
        </w:rPr>
        <w:t xml:space="preserve">ard and companion American Express cards issued by banks in conjunction with </w:t>
      </w:r>
      <w:r w:rsidR="00305380">
        <w:rPr>
          <w:lang w:val="en-AU"/>
        </w:rPr>
        <w:t xml:space="preserve">MasterCard and </w:t>
      </w:r>
      <w:r>
        <w:rPr>
          <w:lang w:val="en-AU"/>
        </w:rPr>
        <w:t xml:space="preserve">Visa </w:t>
      </w:r>
      <w:r w:rsidR="00305380">
        <w:rPr>
          <w:lang w:val="en-AU"/>
        </w:rPr>
        <w:t>cards</w:t>
      </w:r>
      <w:r>
        <w:rPr>
          <w:lang w:val="en-AU"/>
        </w:rPr>
        <w:t xml:space="preserve">.  It also applies </w:t>
      </w:r>
      <w:proofErr w:type="gramStart"/>
      <w:r>
        <w:rPr>
          <w:lang w:val="en-AU"/>
        </w:rPr>
        <w:t>regardless</w:t>
      </w:r>
      <w:proofErr w:type="gramEnd"/>
      <w:r>
        <w:rPr>
          <w:lang w:val="en-AU"/>
        </w:rPr>
        <w:t xml:space="preserve"> if the card is a normal Credit Card or is a “Debit” Credit Card.  It does not apply to Diners Club or standalone American Express cards.</w:t>
      </w:r>
    </w:p>
    <w:p w14:paraId="7FB7018E" w14:textId="77777777" w:rsidR="000F7A38" w:rsidRDefault="000F7A38" w:rsidP="000F7A38">
      <w:pPr>
        <w:pStyle w:val="BodyText"/>
        <w:rPr>
          <w:lang w:val="en-AU"/>
        </w:rPr>
      </w:pPr>
      <w:r>
        <w:rPr>
          <w:lang w:val="en-AU"/>
        </w:rPr>
        <w:t xml:space="preserve">We cannot include any internal costs incurred by the business in the </w:t>
      </w:r>
      <w:proofErr w:type="gramStart"/>
      <w:r>
        <w:rPr>
          <w:lang w:val="en-AU"/>
        </w:rPr>
        <w:t>day to day</w:t>
      </w:r>
      <w:proofErr w:type="gramEnd"/>
      <w:r>
        <w:rPr>
          <w:lang w:val="en-AU"/>
        </w:rPr>
        <w:t xml:space="preserve"> handling / management and processing of the payments or any profit margin.</w:t>
      </w:r>
    </w:p>
    <w:p w14:paraId="2AC3A77D" w14:textId="77777777" w:rsidR="000F7A38" w:rsidRDefault="000F7A38" w:rsidP="000F7A38">
      <w:pPr>
        <w:pStyle w:val="BodyText"/>
        <w:rPr>
          <w:lang w:val="en-AU"/>
        </w:rPr>
      </w:pPr>
      <w:r>
        <w:rPr>
          <w:lang w:val="en-AU"/>
        </w:rPr>
        <w:t xml:space="preserve">In essence we can only charge </w:t>
      </w:r>
      <w:r w:rsidR="0021370B">
        <w:rPr>
          <w:lang w:val="en-AU"/>
        </w:rPr>
        <w:t>client</w:t>
      </w:r>
      <w:r>
        <w:rPr>
          <w:lang w:val="en-AU"/>
        </w:rPr>
        <w:t xml:space="preserve">s that use a particular type of card the average percentage fee that the bank applies to that </w:t>
      </w:r>
      <w:proofErr w:type="gramStart"/>
      <w:r>
        <w:rPr>
          <w:lang w:val="en-AU"/>
        </w:rPr>
        <w:t>particular type of card</w:t>
      </w:r>
      <w:proofErr w:type="gramEnd"/>
      <w:r>
        <w:rPr>
          <w:lang w:val="en-AU"/>
        </w:rPr>
        <w:t xml:space="preserve"> plus a margin to cover specific expenses.</w:t>
      </w:r>
    </w:p>
    <w:p w14:paraId="2EFD267A" w14:textId="77777777" w:rsidR="000F7A38" w:rsidRPr="0021370B" w:rsidRDefault="000F7A38" w:rsidP="0021370B">
      <w:pPr>
        <w:pStyle w:val="BodyText"/>
      </w:pPr>
      <w:r w:rsidRPr="0021370B">
        <w:t xml:space="preserve">If different types of cards attract different percentage fees from the </w:t>
      </w:r>
      <w:proofErr w:type="gramStart"/>
      <w:r w:rsidRPr="0021370B">
        <w:t>bank</w:t>
      </w:r>
      <w:proofErr w:type="gramEnd"/>
      <w:r w:rsidRPr="0021370B">
        <w:t xml:space="preserve"> we cannot apply one rate for all </w:t>
      </w:r>
      <w:r w:rsidR="0021370B">
        <w:t>client</w:t>
      </w:r>
      <w:r w:rsidRPr="0021370B">
        <w:t xml:space="preserve">s based on an average percentage fee, we can only charge all </w:t>
      </w:r>
      <w:r w:rsidR="0021370B">
        <w:t>client</w:t>
      </w:r>
      <w:r w:rsidRPr="0021370B">
        <w:t>s the lowest fee that may apply which in most cases will currently be the “Debit” Credit Card fee.</w:t>
      </w:r>
    </w:p>
    <w:p w14:paraId="40B9D569" w14:textId="77777777" w:rsidR="000F7A38" w:rsidRDefault="000F7A38" w:rsidP="000F7A38">
      <w:pPr>
        <w:pStyle w:val="BodyText"/>
        <w:rPr>
          <w:lang w:val="en-AU"/>
        </w:rPr>
      </w:pPr>
      <w:r>
        <w:rPr>
          <w:lang w:val="en-AU"/>
        </w:rPr>
        <w:t xml:space="preserve">Further information on this issue is available from the Australian Competition and Consumer Commission website and from the </w:t>
      </w:r>
      <w:hyperlink r:id="rId29" w:history="1">
        <w:r w:rsidRPr="000F7A38">
          <w:rPr>
            <w:rStyle w:val="Hyperlink"/>
            <w:lang w:val="en-AU"/>
          </w:rPr>
          <w:t>Credit Card Payment Surcharges Overview</w:t>
        </w:r>
      </w:hyperlink>
    </w:p>
    <w:p w14:paraId="343CF4BD" w14:textId="77777777" w:rsidR="00E610B0" w:rsidRDefault="00E610B0" w:rsidP="00E10FE7">
      <w:pPr>
        <w:pStyle w:val="Heading1"/>
      </w:pPr>
      <w:bookmarkStart w:id="18" w:name="_Toc106600771"/>
      <w:r>
        <w:t>Payment Card Industry Processes</w:t>
      </w:r>
      <w:bookmarkEnd w:id="18"/>
    </w:p>
    <w:p w14:paraId="2185B71A" w14:textId="77777777" w:rsidR="00E610B0" w:rsidRDefault="00E610B0" w:rsidP="00E610B0">
      <w:pPr>
        <w:pStyle w:val="BodyText"/>
      </w:pPr>
      <w:r>
        <w:t xml:space="preserve">The business commits to complying with the spirit and intent of the Payment Card Industry Data Security Standard </w:t>
      </w:r>
      <w:hyperlink r:id="rId30" w:history="1">
        <w:r w:rsidR="00561B08">
          <w:rPr>
            <w:rStyle w:val="Hyperlink"/>
          </w:rPr>
          <w:t>Payment Card Industry Data Security Standard (PCI DSS)</w:t>
        </w:r>
      </w:hyperlink>
      <w:r w:rsidR="00561B08">
        <w:t xml:space="preserve"> </w:t>
      </w:r>
      <w:r>
        <w:t>and has put into place the following processes.</w:t>
      </w:r>
    </w:p>
    <w:p w14:paraId="21CE1C04" w14:textId="77777777" w:rsidR="00E610B0" w:rsidRDefault="00E610B0" w:rsidP="00E610B0">
      <w:pPr>
        <w:pStyle w:val="Bullet1"/>
      </w:pPr>
      <w:r>
        <w:t xml:space="preserve">All </w:t>
      </w:r>
      <w:r w:rsidR="000F7A38">
        <w:t>C</w:t>
      </w:r>
      <w:r>
        <w:t xml:space="preserve">redit </w:t>
      </w:r>
      <w:r w:rsidR="000F7A38">
        <w:t>C</w:t>
      </w:r>
      <w:r>
        <w:t>ard payment details are to be destroyed /de</w:t>
      </w:r>
      <w:r w:rsidR="00967865">
        <w:t>-</w:t>
      </w:r>
      <w:r>
        <w:t>iden</w:t>
      </w:r>
      <w:r w:rsidR="008B431B">
        <w:t>tif</w:t>
      </w:r>
      <w:r>
        <w:t xml:space="preserve">ied or stored securely within 7 days of the credit card details </w:t>
      </w:r>
      <w:proofErr w:type="gramStart"/>
      <w:r>
        <w:t>being used</w:t>
      </w:r>
      <w:proofErr w:type="gramEnd"/>
      <w:r>
        <w:t>.</w:t>
      </w:r>
    </w:p>
    <w:p w14:paraId="7B158870" w14:textId="77777777" w:rsidR="00E610B0" w:rsidRDefault="00E610B0" w:rsidP="00E610B0">
      <w:pPr>
        <w:pStyle w:val="Bullet1"/>
      </w:pPr>
      <w:r>
        <w:lastRenderedPageBreak/>
        <w:t xml:space="preserve">Documents that need to </w:t>
      </w:r>
      <w:proofErr w:type="gramStart"/>
      <w:r>
        <w:t>be retained</w:t>
      </w:r>
      <w:proofErr w:type="gramEnd"/>
      <w:r>
        <w:t xml:space="preserve"> by the business that include Credit Card details are to have the Credit Card details de-iden</w:t>
      </w:r>
      <w:r w:rsidR="00967865">
        <w:t>t</w:t>
      </w:r>
      <w:r>
        <w:t>ified or alternatively stored securely.</w:t>
      </w:r>
    </w:p>
    <w:p w14:paraId="0420195E" w14:textId="77777777" w:rsidR="00967865" w:rsidRDefault="00967865" w:rsidP="00E610B0">
      <w:pPr>
        <w:pStyle w:val="Bullet1"/>
      </w:pPr>
      <w:r>
        <w:t xml:space="preserve">Clients are to be requested not to email / fax credit card details when paying via </w:t>
      </w:r>
      <w:r w:rsidR="000F7A38">
        <w:t>C</w:t>
      </w:r>
      <w:r>
        <w:t xml:space="preserve">redit </w:t>
      </w:r>
      <w:proofErr w:type="gramStart"/>
      <w:r w:rsidR="000F7A38">
        <w:t>C</w:t>
      </w:r>
      <w:r>
        <w:t xml:space="preserve">ard.  </w:t>
      </w:r>
      <w:proofErr w:type="gramEnd"/>
      <w:r>
        <w:t xml:space="preserve">This is to </w:t>
      </w:r>
      <w:proofErr w:type="gramStart"/>
      <w:r>
        <w:t>be included</w:t>
      </w:r>
      <w:proofErr w:type="gramEnd"/>
      <w:r>
        <w:t xml:space="preserve"> </w:t>
      </w:r>
      <w:proofErr w:type="gramStart"/>
      <w:r>
        <w:t>on</w:t>
      </w:r>
      <w:proofErr w:type="gramEnd"/>
      <w:r>
        <w:t xml:space="preserve"> all documentation that provides for Credit Card details.</w:t>
      </w:r>
    </w:p>
    <w:p w14:paraId="5E79D52F" w14:textId="77777777" w:rsidR="00967865" w:rsidRDefault="00967865" w:rsidP="00E610B0">
      <w:pPr>
        <w:pStyle w:val="Bullet1"/>
      </w:pPr>
      <w:r>
        <w:t xml:space="preserve">Clients that fax / email their Credit Card details to us are to </w:t>
      </w:r>
      <w:proofErr w:type="gramStart"/>
      <w:r>
        <w:t>be courteously advised</w:t>
      </w:r>
      <w:proofErr w:type="gramEnd"/>
      <w:r>
        <w:t xml:space="preserve"> of the security threat such communication processes involve and requested to phone details to us or use any secure Credit Card gateways that we have available.</w:t>
      </w:r>
    </w:p>
    <w:p w14:paraId="02F44219" w14:textId="77777777" w:rsidR="00967865" w:rsidRDefault="00967865" w:rsidP="00E610B0">
      <w:pPr>
        <w:pStyle w:val="Bullet1"/>
      </w:pPr>
      <w:r>
        <w:t>We are not to pass client Credit Card details to third partie</w:t>
      </w:r>
      <w:r w:rsidR="008B431B">
        <w:t>s</w:t>
      </w:r>
      <w:r>
        <w:t xml:space="preserve"> via either fax or email, including scanned attachments to emails.</w:t>
      </w:r>
    </w:p>
    <w:p w14:paraId="6F985A46" w14:textId="77777777" w:rsidR="00132656" w:rsidRDefault="00132656" w:rsidP="00E10FE7">
      <w:pPr>
        <w:pStyle w:val="Heading1"/>
      </w:pPr>
      <w:bookmarkStart w:id="19" w:name="Taxes"/>
      <w:bookmarkStart w:id="20" w:name="_Toc106600772"/>
      <w:bookmarkEnd w:id="19"/>
      <w:r>
        <w:t>General Insurance Taxes</w:t>
      </w:r>
      <w:r w:rsidR="003A7922">
        <w:t xml:space="preserve"> (only Applies to Insurance Intermediaries</w:t>
      </w:r>
      <w:r w:rsidR="00E10FE7">
        <w:t>)</w:t>
      </w:r>
      <w:bookmarkEnd w:id="20"/>
    </w:p>
    <w:p w14:paraId="42CC1B2E" w14:textId="77777777" w:rsidR="00132656" w:rsidRDefault="00132656" w:rsidP="004D6178">
      <w:pPr>
        <w:pStyle w:val="Heading2"/>
      </w:pPr>
      <w:bookmarkStart w:id="21" w:name="_Toc106600773"/>
      <w:r>
        <w:t>Introduction</w:t>
      </w:r>
      <w:bookmarkEnd w:id="21"/>
    </w:p>
    <w:p w14:paraId="2B3B85E9" w14:textId="77777777" w:rsidR="00DA5FC1" w:rsidRDefault="00DA5FC1" w:rsidP="00DA5FC1">
      <w:pPr>
        <w:pStyle w:val="BodyText"/>
      </w:pPr>
      <w:r>
        <w:t xml:space="preserve">Where the business is involved with the placement of general insurance covers for Australian based risks directly with offshore insurers or intermediaries the business must ensure that all relevant taxes and charges payable in Australia </w:t>
      </w:r>
      <w:proofErr w:type="gramStart"/>
      <w:r>
        <w:t>are collected</w:t>
      </w:r>
      <w:proofErr w:type="gramEnd"/>
      <w:r>
        <w:t xml:space="preserve"> and passed on to the relevant state or federal authority.</w:t>
      </w:r>
    </w:p>
    <w:p w14:paraId="258CF916" w14:textId="77777777" w:rsidR="00DA5FC1" w:rsidRDefault="00132656" w:rsidP="004D6178">
      <w:pPr>
        <w:pStyle w:val="Heading2"/>
      </w:pPr>
      <w:bookmarkStart w:id="22" w:name="_Toc106600774"/>
      <w:r>
        <w:t>Stamp Duty</w:t>
      </w:r>
      <w:bookmarkEnd w:id="22"/>
    </w:p>
    <w:p w14:paraId="2C3C98BC" w14:textId="77777777" w:rsidR="00DA5FC1" w:rsidRDefault="00176312" w:rsidP="00176312">
      <w:pPr>
        <w:pStyle w:val="BodyText"/>
      </w:pPr>
      <w:r>
        <w:t>State based stamp duty</w:t>
      </w:r>
      <w:r w:rsidR="00DA5FC1">
        <w:t xml:space="preserve"> is typically payable on a percentage of premium, FES levy and GST and is calculated based on the premium allocated to the activities of the insured in each state</w:t>
      </w:r>
      <w:proofErr w:type="gramStart"/>
      <w:r w:rsidR="00DA5FC1">
        <w:t xml:space="preserve">.  </w:t>
      </w:r>
      <w:proofErr w:type="gramEnd"/>
      <w:r w:rsidR="00DA5FC1">
        <w:t>These amounts are payable to the relevant state revenue offices</w:t>
      </w:r>
      <w:proofErr w:type="gramStart"/>
      <w:r w:rsidR="00DA5FC1">
        <w:t>.</w:t>
      </w:r>
      <w:r>
        <w:t xml:space="preserve">  </w:t>
      </w:r>
      <w:proofErr w:type="gramEnd"/>
      <w:r>
        <w:t>The business must register with each state where stamp duty is payable.</w:t>
      </w:r>
    </w:p>
    <w:p w14:paraId="2BBC32AC" w14:textId="77777777" w:rsidR="00132656" w:rsidRDefault="00132656" w:rsidP="00132656">
      <w:pPr>
        <w:pStyle w:val="BodyText"/>
      </w:pPr>
      <w:r>
        <w:t>There are specific Stamp Duty exemptions that apply in NSW effective from January 2018 that apply to Crop and some Small Business Insurance policies</w:t>
      </w:r>
      <w:proofErr w:type="gramStart"/>
      <w:r>
        <w:t xml:space="preserve">.  </w:t>
      </w:r>
      <w:proofErr w:type="gramEnd"/>
      <w:r>
        <w:t xml:space="preserve">For further information refer to </w:t>
      </w:r>
      <w:hyperlink r:id="rId31" w:history="1">
        <w:r w:rsidRPr="00132656">
          <w:rPr>
            <w:rStyle w:val="Hyperlink"/>
          </w:rPr>
          <w:t>http://www.revenue.nsw.gov.au/taxes/insurance/factsheet/overview</w:t>
        </w:r>
      </w:hyperlink>
    </w:p>
    <w:p w14:paraId="6DF0CA2C" w14:textId="77777777" w:rsidR="00132656" w:rsidRDefault="00132656" w:rsidP="004D6178">
      <w:pPr>
        <w:pStyle w:val="Heading2"/>
      </w:pPr>
      <w:bookmarkStart w:id="23" w:name="_Toc106600775"/>
      <w:r>
        <w:t>Withholding Tax</w:t>
      </w:r>
      <w:bookmarkEnd w:id="23"/>
    </w:p>
    <w:p w14:paraId="4988E415" w14:textId="77777777" w:rsidR="00DA5FC1" w:rsidRDefault="00DA5FC1" w:rsidP="00176312">
      <w:pPr>
        <w:pStyle w:val="BodyText"/>
      </w:pPr>
      <w:proofErr w:type="gramStart"/>
      <w:r>
        <w:t>3%</w:t>
      </w:r>
      <w:proofErr w:type="gramEnd"/>
      <w:r>
        <w:t xml:space="preserve"> withholding tax where the insurer is not domiciled in Australia.  This is payable on the base premium collected on behalf of the insurer</w:t>
      </w:r>
      <w:proofErr w:type="gramStart"/>
      <w:r>
        <w:t xml:space="preserve">.  </w:t>
      </w:r>
      <w:proofErr w:type="gramEnd"/>
      <w:r>
        <w:t>These funds are payable to the ATO</w:t>
      </w:r>
      <w:proofErr w:type="gramStart"/>
      <w:r>
        <w:t>.</w:t>
      </w:r>
      <w:r w:rsidR="00176312">
        <w:t xml:space="preserve">  </w:t>
      </w:r>
      <w:proofErr w:type="gramEnd"/>
      <w:r w:rsidR="00176312">
        <w:t>The business must register with the ATO as an agent of the insurer and complete an annual Withholding tax return</w:t>
      </w:r>
      <w:proofErr w:type="gramStart"/>
      <w:r w:rsidR="00176312">
        <w:t xml:space="preserve">.  </w:t>
      </w:r>
      <w:proofErr w:type="gramEnd"/>
      <w:r w:rsidR="00176312">
        <w:t xml:space="preserve">The tax withheld is not to </w:t>
      </w:r>
      <w:proofErr w:type="gramStart"/>
      <w:r w:rsidR="00176312">
        <w:t>be included</w:t>
      </w:r>
      <w:proofErr w:type="gramEnd"/>
      <w:r w:rsidR="00176312">
        <w:t xml:space="preserve"> in the business’s own tax return.</w:t>
      </w:r>
    </w:p>
    <w:p w14:paraId="23A2DB43" w14:textId="77777777" w:rsidR="00132656" w:rsidRDefault="00132656" w:rsidP="004D6178">
      <w:pPr>
        <w:pStyle w:val="Heading2"/>
      </w:pPr>
      <w:bookmarkStart w:id="24" w:name="_Toc106600776"/>
      <w:r>
        <w:t>Fire Essential Services (Fire Brigade)</w:t>
      </w:r>
      <w:bookmarkEnd w:id="24"/>
    </w:p>
    <w:p w14:paraId="39C266D1" w14:textId="77777777" w:rsidR="00DA5FC1" w:rsidRDefault="00DA5FC1" w:rsidP="00176312">
      <w:pPr>
        <w:pStyle w:val="BodyText"/>
      </w:pPr>
      <w:r>
        <w:t xml:space="preserve">Fire Essential Services (Fire Brigade) levies payable in </w:t>
      </w:r>
      <w:proofErr w:type="gramStart"/>
      <w:r>
        <w:t>some</w:t>
      </w:r>
      <w:proofErr w:type="gramEnd"/>
      <w:r>
        <w:t xml:space="preserve"> states in Australia and calculated as a percentage of the premium generated by the assets located in the state. These funds are payable to the relevant Fire Authority.</w:t>
      </w:r>
      <w:r w:rsidR="00176312">
        <w:t xml:space="preserve"> The business must register with </w:t>
      </w:r>
      <w:proofErr w:type="gramStart"/>
      <w:r w:rsidR="00176312">
        <w:t>relevant</w:t>
      </w:r>
      <w:proofErr w:type="gramEnd"/>
      <w:r w:rsidR="00176312">
        <w:t xml:space="preserve"> Fire Authority to whom the levy is payable.</w:t>
      </w:r>
    </w:p>
    <w:p w14:paraId="71EF32B8" w14:textId="77777777" w:rsidR="00132656" w:rsidRDefault="00132656" w:rsidP="004D6178">
      <w:pPr>
        <w:pStyle w:val="Heading2"/>
      </w:pPr>
      <w:bookmarkStart w:id="25" w:name="_Toc106600777"/>
      <w:r>
        <w:lastRenderedPageBreak/>
        <w:t>Terrorism Levy</w:t>
      </w:r>
      <w:bookmarkEnd w:id="25"/>
    </w:p>
    <w:p w14:paraId="0079B209" w14:textId="77777777" w:rsidR="00132656" w:rsidRDefault="00132656" w:rsidP="00176312">
      <w:pPr>
        <w:pStyle w:val="BodyText"/>
      </w:pPr>
      <w:r>
        <w:t>W</w:t>
      </w:r>
      <w:r w:rsidR="006B49A3">
        <w:t xml:space="preserve">here applicable </w:t>
      </w:r>
      <w:r>
        <w:t xml:space="preserve">the levy </w:t>
      </w:r>
      <w:proofErr w:type="gramStart"/>
      <w:r w:rsidR="006B49A3">
        <w:t>is charged</w:t>
      </w:r>
      <w:proofErr w:type="gramEnd"/>
      <w:r w:rsidR="006B49A3">
        <w:t xml:space="preserve"> by the relevant insurer, whether they are a local or overseas insurer</w:t>
      </w:r>
      <w:r w:rsidR="00E37C7D">
        <w:t xml:space="preserve"> and have registered with the ARPC for reinsurance protection.</w:t>
      </w:r>
    </w:p>
    <w:p w14:paraId="57AFBA0A" w14:textId="77777777" w:rsidR="00132656" w:rsidRDefault="00132656" w:rsidP="00176312">
      <w:pPr>
        <w:pStyle w:val="BodyText"/>
      </w:pPr>
      <w:r>
        <w:t>The Terrorism Act has the effect of voiding all terrorism exclusions in relevant insurance policies and then providing the option of coverage under the ARPC.</w:t>
      </w:r>
    </w:p>
    <w:p w14:paraId="0B81095F" w14:textId="77777777" w:rsidR="00027A34" w:rsidRDefault="00E37C7D" w:rsidP="00176312">
      <w:pPr>
        <w:pStyle w:val="BodyText"/>
      </w:pPr>
      <w:r>
        <w:t xml:space="preserve">Lloyds of London syndicates have the option to </w:t>
      </w:r>
      <w:proofErr w:type="gramStart"/>
      <w:r>
        <w:t>be covered</w:t>
      </w:r>
      <w:proofErr w:type="gramEnd"/>
      <w:r>
        <w:t xml:space="preserve"> by the Scheme or rely on their own commercial arrangements. Many overseas insurers are </w:t>
      </w:r>
      <w:proofErr w:type="gramStart"/>
      <w:r>
        <w:t>probably not</w:t>
      </w:r>
      <w:proofErr w:type="gramEnd"/>
      <w:r>
        <w:t xml:space="preserve"> registered for the scheme, especially where they have only incidental exposure in Australia.</w:t>
      </w:r>
    </w:p>
    <w:p w14:paraId="70514A7D" w14:textId="77777777" w:rsidR="00176312" w:rsidRDefault="00027A34" w:rsidP="004D6178">
      <w:pPr>
        <w:pStyle w:val="Heading2"/>
      </w:pPr>
      <w:r>
        <w:br w:type="page"/>
      </w:r>
      <w:bookmarkStart w:id="26" w:name="_Toc106600778"/>
      <w:r w:rsidR="00176312">
        <w:lastRenderedPageBreak/>
        <w:t>Timing of Payments</w:t>
      </w:r>
      <w:bookmarkEnd w:id="26"/>
    </w:p>
    <w:p w14:paraId="79A39A76" w14:textId="77777777" w:rsidR="00176312" w:rsidRDefault="00176312" w:rsidP="00176312">
      <w:pPr>
        <w:pStyle w:val="BodyText"/>
      </w:pPr>
      <w:r>
        <w:t xml:space="preserve">Each of the various charges and taxes have different payment notification and lodgement forms and payment requirements by state / fire authority </w:t>
      </w:r>
      <w:proofErr w:type="gramStart"/>
      <w:r>
        <w:t>etc.</w:t>
      </w:r>
      <w:proofErr w:type="gramEnd"/>
    </w:p>
    <w:p w14:paraId="1469A737" w14:textId="77777777" w:rsidR="004D3C3E" w:rsidRDefault="004D3C3E" w:rsidP="00176312">
      <w:pPr>
        <w:pStyle w:val="BodyText"/>
      </w:pPr>
      <w:r>
        <w:t>The table below provides information on the various websites available to access information and the time for payment of the relevant tax/charge/</w:t>
      </w:r>
      <w:proofErr w:type="gramStart"/>
      <w:r>
        <w:t>levy</w:t>
      </w:r>
      <w:proofErr w:type="gramEnd"/>
    </w:p>
    <w:tbl>
      <w:tblPr>
        <w:tblW w:w="764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2"/>
        <w:gridCol w:w="1587"/>
      </w:tblGrid>
      <w:tr w:rsidR="008C63A9" w:rsidRPr="002607EF" w14:paraId="487058DA" w14:textId="77777777" w:rsidTr="00027A34">
        <w:tc>
          <w:tcPr>
            <w:tcW w:w="1809" w:type="dxa"/>
            <w:shd w:val="clear" w:color="auto" w:fill="auto"/>
          </w:tcPr>
          <w:p w14:paraId="3440B6AF" w14:textId="77777777" w:rsidR="004D3C3E" w:rsidRDefault="004D3C3E" w:rsidP="008C63A9">
            <w:pPr>
              <w:pStyle w:val="BlockText"/>
            </w:pPr>
            <w:r>
              <w:t>State</w:t>
            </w:r>
          </w:p>
        </w:tc>
        <w:tc>
          <w:tcPr>
            <w:tcW w:w="4252" w:type="dxa"/>
            <w:shd w:val="clear" w:color="auto" w:fill="auto"/>
          </w:tcPr>
          <w:p w14:paraId="31AD18EA" w14:textId="77777777" w:rsidR="004D3C3E" w:rsidRDefault="004D3C3E" w:rsidP="008C63A9">
            <w:pPr>
              <w:pStyle w:val="BlockText"/>
            </w:pPr>
            <w:r>
              <w:t>Website</w:t>
            </w:r>
          </w:p>
        </w:tc>
        <w:tc>
          <w:tcPr>
            <w:tcW w:w="1587" w:type="dxa"/>
            <w:shd w:val="clear" w:color="auto" w:fill="auto"/>
          </w:tcPr>
          <w:p w14:paraId="58A18B78" w14:textId="77777777" w:rsidR="004D3C3E" w:rsidRDefault="004D3C3E" w:rsidP="008C63A9">
            <w:pPr>
              <w:pStyle w:val="BlockText"/>
            </w:pPr>
            <w:r>
              <w:t>Payment</w:t>
            </w:r>
          </w:p>
        </w:tc>
      </w:tr>
      <w:tr w:rsidR="008C63A9" w14:paraId="2A738917" w14:textId="77777777" w:rsidTr="00027A34">
        <w:tc>
          <w:tcPr>
            <w:tcW w:w="1809" w:type="dxa"/>
            <w:shd w:val="clear" w:color="auto" w:fill="auto"/>
          </w:tcPr>
          <w:p w14:paraId="190D905E" w14:textId="77777777" w:rsidR="004D3C3E" w:rsidRDefault="008C63A9" w:rsidP="002607EF">
            <w:pPr>
              <w:pStyle w:val="BodyText"/>
              <w:numPr>
                <w:ilvl w:val="0"/>
                <w:numId w:val="0"/>
              </w:numPr>
            </w:pPr>
            <w:r>
              <w:t>NSW (Stamp Duty)</w:t>
            </w:r>
          </w:p>
        </w:tc>
        <w:tc>
          <w:tcPr>
            <w:tcW w:w="4252" w:type="dxa"/>
            <w:shd w:val="clear" w:color="auto" w:fill="auto"/>
          </w:tcPr>
          <w:p w14:paraId="38683293" w14:textId="77777777" w:rsidR="004D3C3E" w:rsidRDefault="00000000" w:rsidP="002607EF">
            <w:pPr>
              <w:pStyle w:val="BodyText"/>
              <w:numPr>
                <w:ilvl w:val="0"/>
                <w:numId w:val="0"/>
              </w:numPr>
            </w:pPr>
            <w:hyperlink r:id="rId32" w:history="1">
              <w:r w:rsidR="00132656" w:rsidRPr="00132656">
                <w:rPr>
                  <w:rStyle w:val="Hyperlink"/>
                </w:rPr>
                <w:t>http://www.revenue.nsw.gov.au/taxes/insurance</w:t>
              </w:r>
            </w:hyperlink>
          </w:p>
        </w:tc>
        <w:tc>
          <w:tcPr>
            <w:tcW w:w="1587" w:type="dxa"/>
            <w:shd w:val="clear" w:color="auto" w:fill="auto"/>
          </w:tcPr>
          <w:p w14:paraId="106915BC" w14:textId="77777777" w:rsidR="004D3C3E" w:rsidRDefault="008C63A9" w:rsidP="002607EF">
            <w:pPr>
              <w:pStyle w:val="BodyText"/>
              <w:numPr>
                <w:ilvl w:val="0"/>
                <w:numId w:val="0"/>
              </w:numPr>
            </w:pPr>
            <w:r>
              <w:t>21 days after end of month</w:t>
            </w:r>
          </w:p>
        </w:tc>
      </w:tr>
      <w:tr w:rsidR="008C63A9" w14:paraId="2CED7C4E" w14:textId="77777777" w:rsidTr="00027A34">
        <w:tc>
          <w:tcPr>
            <w:tcW w:w="1809" w:type="dxa"/>
            <w:shd w:val="clear" w:color="auto" w:fill="auto"/>
          </w:tcPr>
          <w:p w14:paraId="2D5F0F3F" w14:textId="77777777" w:rsidR="008C63A9" w:rsidRDefault="008C63A9" w:rsidP="002607EF">
            <w:pPr>
              <w:pStyle w:val="BodyText"/>
              <w:numPr>
                <w:ilvl w:val="0"/>
                <w:numId w:val="0"/>
              </w:numPr>
            </w:pPr>
            <w:r>
              <w:t>SA (Stamp Duty)</w:t>
            </w:r>
          </w:p>
        </w:tc>
        <w:tc>
          <w:tcPr>
            <w:tcW w:w="4252" w:type="dxa"/>
            <w:shd w:val="clear" w:color="auto" w:fill="auto"/>
          </w:tcPr>
          <w:p w14:paraId="32D8C033" w14:textId="77777777" w:rsidR="008C63A9" w:rsidRDefault="00000000" w:rsidP="002607EF">
            <w:pPr>
              <w:pStyle w:val="BodyText"/>
              <w:numPr>
                <w:ilvl w:val="0"/>
                <w:numId w:val="0"/>
              </w:numPr>
            </w:pPr>
            <w:hyperlink r:id="rId33" w:history="1">
              <w:r w:rsidR="00132656" w:rsidRPr="00132656">
                <w:rPr>
                  <w:rStyle w:val="Hyperlink"/>
                </w:rPr>
                <w:t>https://www.revenuesa.sa.gov.au/taxes-and-duties/stamp-duties/insurance</w:t>
              </w:r>
            </w:hyperlink>
          </w:p>
        </w:tc>
        <w:tc>
          <w:tcPr>
            <w:tcW w:w="1587" w:type="dxa"/>
            <w:shd w:val="clear" w:color="auto" w:fill="auto"/>
          </w:tcPr>
          <w:p w14:paraId="405235FA" w14:textId="77777777" w:rsidR="008C63A9" w:rsidRDefault="008C63A9" w:rsidP="002607EF">
            <w:pPr>
              <w:pStyle w:val="BodyText"/>
              <w:numPr>
                <w:ilvl w:val="0"/>
                <w:numId w:val="0"/>
              </w:numPr>
            </w:pPr>
            <w:r>
              <w:t>15 days after end of month</w:t>
            </w:r>
          </w:p>
        </w:tc>
      </w:tr>
      <w:tr w:rsidR="008C63A9" w14:paraId="64737481" w14:textId="77777777" w:rsidTr="00027A34">
        <w:tc>
          <w:tcPr>
            <w:tcW w:w="1809" w:type="dxa"/>
            <w:shd w:val="clear" w:color="auto" w:fill="auto"/>
          </w:tcPr>
          <w:p w14:paraId="2DC696ED" w14:textId="77777777" w:rsidR="008C63A9" w:rsidRDefault="008C63A9" w:rsidP="002607EF">
            <w:pPr>
              <w:pStyle w:val="BodyText"/>
              <w:numPr>
                <w:ilvl w:val="0"/>
                <w:numId w:val="0"/>
              </w:numPr>
            </w:pPr>
            <w:r>
              <w:t>Vic (Stamp Duty)</w:t>
            </w:r>
          </w:p>
        </w:tc>
        <w:tc>
          <w:tcPr>
            <w:tcW w:w="4252" w:type="dxa"/>
            <w:shd w:val="clear" w:color="auto" w:fill="auto"/>
          </w:tcPr>
          <w:p w14:paraId="3698CCBA" w14:textId="77777777" w:rsidR="008C63A9" w:rsidRPr="001A2F0E" w:rsidRDefault="00132656" w:rsidP="002607EF">
            <w:pPr>
              <w:pStyle w:val="BodyText"/>
              <w:numPr>
                <w:ilvl w:val="0"/>
                <w:numId w:val="0"/>
              </w:numPr>
              <w:rPr>
                <w:rStyle w:val="Hyperlink"/>
              </w:rPr>
            </w:pPr>
            <w:r w:rsidRPr="00132656">
              <w:rPr>
                <w:rStyle w:val="Hyperlink"/>
              </w:rPr>
              <w:t>http://www.sro.vic.gov.au/insurance</w:t>
            </w:r>
          </w:p>
        </w:tc>
        <w:tc>
          <w:tcPr>
            <w:tcW w:w="1587" w:type="dxa"/>
            <w:shd w:val="clear" w:color="auto" w:fill="auto"/>
          </w:tcPr>
          <w:p w14:paraId="1EF2D21D" w14:textId="77777777" w:rsidR="008C63A9" w:rsidRDefault="008C63A9" w:rsidP="002607EF">
            <w:pPr>
              <w:pStyle w:val="BodyText"/>
              <w:numPr>
                <w:ilvl w:val="0"/>
                <w:numId w:val="0"/>
              </w:numPr>
            </w:pPr>
            <w:r>
              <w:t>21 days after end of month</w:t>
            </w:r>
          </w:p>
        </w:tc>
      </w:tr>
      <w:tr w:rsidR="008C63A9" w14:paraId="1DAF2355" w14:textId="77777777" w:rsidTr="00027A34">
        <w:tc>
          <w:tcPr>
            <w:tcW w:w="1809" w:type="dxa"/>
            <w:shd w:val="clear" w:color="auto" w:fill="auto"/>
          </w:tcPr>
          <w:p w14:paraId="3C496E20" w14:textId="77777777" w:rsidR="008C63A9" w:rsidRDefault="008C63A9" w:rsidP="002607EF">
            <w:pPr>
              <w:pStyle w:val="BodyText"/>
              <w:numPr>
                <w:ilvl w:val="0"/>
                <w:numId w:val="0"/>
              </w:numPr>
            </w:pPr>
            <w:r>
              <w:t>WA (Stamp Duty)</w:t>
            </w:r>
          </w:p>
        </w:tc>
        <w:tc>
          <w:tcPr>
            <w:tcW w:w="4252" w:type="dxa"/>
            <w:shd w:val="clear" w:color="auto" w:fill="auto"/>
          </w:tcPr>
          <w:p w14:paraId="6812A5BA" w14:textId="77777777" w:rsidR="008C63A9" w:rsidRPr="008C63A9" w:rsidRDefault="00000000" w:rsidP="002607EF">
            <w:pPr>
              <w:pStyle w:val="BodyText"/>
              <w:numPr>
                <w:ilvl w:val="0"/>
                <w:numId w:val="0"/>
              </w:numPr>
            </w:pPr>
            <w:hyperlink r:id="rId34" w:history="1">
              <w:r w:rsidR="001A2F0E" w:rsidRPr="00087703">
                <w:rPr>
                  <w:rStyle w:val="Hyperlink"/>
                </w:rPr>
                <w:t>http://www.finance.wa.gov.au/cms/content.aspx?id=648&amp;linkidentifier=id&amp;itemid=648</w:t>
              </w:r>
            </w:hyperlink>
          </w:p>
        </w:tc>
        <w:tc>
          <w:tcPr>
            <w:tcW w:w="1587" w:type="dxa"/>
            <w:shd w:val="clear" w:color="auto" w:fill="auto"/>
          </w:tcPr>
          <w:p w14:paraId="2E6CC430" w14:textId="77777777" w:rsidR="008C63A9" w:rsidRDefault="001A2F0E" w:rsidP="002607EF">
            <w:pPr>
              <w:pStyle w:val="BodyText"/>
              <w:numPr>
                <w:ilvl w:val="0"/>
                <w:numId w:val="0"/>
              </w:numPr>
            </w:pPr>
            <w:r>
              <w:t>60 days after end of month</w:t>
            </w:r>
          </w:p>
        </w:tc>
      </w:tr>
      <w:tr w:rsidR="001A2F0E" w14:paraId="6AE2BC1A" w14:textId="77777777" w:rsidTr="00027A34">
        <w:tc>
          <w:tcPr>
            <w:tcW w:w="1809" w:type="dxa"/>
            <w:shd w:val="clear" w:color="auto" w:fill="auto"/>
          </w:tcPr>
          <w:p w14:paraId="62EB28B4" w14:textId="77777777" w:rsidR="001A2F0E" w:rsidRDefault="001A2F0E" w:rsidP="002607EF">
            <w:pPr>
              <w:pStyle w:val="BodyText"/>
              <w:numPr>
                <w:ilvl w:val="0"/>
                <w:numId w:val="0"/>
              </w:numPr>
            </w:pPr>
            <w:r>
              <w:t>Qld (Stamp Duty)</w:t>
            </w:r>
          </w:p>
        </w:tc>
        <w:tc>
          <w:tcPr>
            <w:tcW w:w="4252" w:type="dxa"/>
            <w:shd w:val="clear" w:color="auto" w:fill="auto"/>
          </w:tcPr>
          <w:p w14:paraId="72855D66" w14:textId="77777777" w:rsidR="001A2F0E" w:rsidRDefault="00000000" w:rsidP="002607EF">
            <w:pPr>
              <w:pStyle w:val="BodyText"/>
              <w:numPr>
                <w:ilvl w:val="0"/>
                <w:numId w:val="0"/>
              </w:numPr>
            </w:pPr>
            <w:hyperlink r:id="rId35" w:history="1">
              <w:r w:rsidR="00132656" w:rsidRPr="00132656">
                <w:rPr>
                  <w:rStyle w:val="Hyperlink"/>
                </w:rPr>
                <w:t>https://www.business.qld.gov.au/industries/service-industries-professionals/professional-financial-services/insurance-duty</w:t>
              </w:r>
            </w:hyperlink>
          </w:p>
        </w:tc>
        <w:tc>
          <w:tcPr>
            <w:tcW w:w="1587" w:type="dxa"/>
            <w:shd w:val="clear" w:color="auto" w:fill="auto"/>
          </w:tcPr>
          <w:p w14:paraId="015D145C" w14:textId="77777777" w:rsidR="001A2F0E" w:rsidRDefault="001A2F0E" w:rsidP="002607EF">
            <w:pPr>
              <w:pStyle w:val="BodyText"/>
              <w:numPr>
                <w:ilvl w:val="0"/>
                <w:numId w:val="0"/>
              </w:numPr>
            </w:pPr>
            <w:r>
              <w:t>30 days of receipt</w:t>
            </w:r>
          </w:p>
        </w:tc>
      </w:tr>
      <w:tr w:rsidR="001A2F0E" w14:paraId="6CF63005" w14:textId="77777777" w:rsidTr="00027A34">
        <w:tc>
          <w:tcPr>
            <w:tcW w:w="1809" w:type="dxa"/>
            <w:shd w:val="clear" w:color="auto" w:fill="auto"/>
          </w:tcPr>
          <w:p w14:paraId="17571182" w14:textId="77777777" w:rsidR="001A2F0E" w:rsidRDefault="001A2F0E" w:rsidP="002607EF">
            <w:pPr>
              <w:pStyle w:val="BodyText"/>
              <w:numPr>
                <w:ilvl w:val="0"/>
                <w:numId w:val="0"/>
              </w:numPr>
            </w:pPr>
            <w:r>
              <w:t>Tas (Stamp Duty)</w:t>
            </w:r>
          </w:p>
        </w:tc>
        <w:tc>
          <w:tcPr>
            <w:tcW w:w="4252" w:type="dxa"/>
            <w:shd w:val="clear" w:color="auto" w:fill="auto"/>
          </w:tcPr>
          <w:p w14:paraId="02476200" w14:textId="77777777" w:rsidR="001A2F0E" w:rsidRDefault="00000000" w:rsidP="002607EF">
            <w:pPr>
              <w:pStyle w:val="BodyText"/>
              <w:numPr>
                <w:ilvl w:val="0"/>
                <w:numId w:val="0"/>
              </w:numPr>
            </w:pPr>
            <w:hyperlink r:id="rId36" w:history="1">
              <w:r w:rsidR="00132656" w:rsidRPr="00132656">
                <w:rPr>
                  <w:rStyle w:val="Hyperlink"/>
                </w:rPr>
                <w:t>http://www.sro.tas.gov.au/motor-vehicle-and-insurance-duty/insurance-duty</w:t>
              </w:r>
            </w:hyperlink>
          </w:p>
        </w:tc>
        <w:tc>
          <w:tcPr>
            <w:tcW w:w="1587" w:type="dxa"/>
            <w:shd w:val="clear" w:color="auto" w:fill="auto"/>
          </w:tcPr>
          <w:p w14:paraId="07874F34" w14:textId="77777777" w:rsidR="001A2F0E" w:rsidRDefault="001A2F0E" w:rsidP="002607EF">
            <w:pPr>
              <w:pStyle w:val="BodyText"/>
              <w:numPr>
                <w:ilvl w:val="0"/>
                <w:numId w:val="0"/>
              </w:numPr>
            </w:pPr>
            <w:r>
              <w:t>21 days after end of month</w:t>
            </w:r>
          </w:p>
        </w:tc>
      </w:tr>
      <w:tr w:rsidR="000E32C8" w14:paraId="3FA6F034" w14:textId="77777777" w:rsidTr="00027A34">
        <w:tc>
          <w:tcPr>
            <w:tcW w:w="1809" w:type="dxa"/>
            <w:shd w:val="clear" w:color="auto" w:fill="auto"/>
          </w:tcPr>
          <w:p w14:paraId="3B9D0E24" w14:textId="77777777" w:rsidR="000E32C8" w:rsidRDefault="000E32C8" w:rsidP="002607EF">
            <w:pPr>
              <w:pStyle w:val="BodyText"/>
              <w:numPr>
                <w:ilvl w:val="0"/>
                <w:numId w:val="0"/>
              </w:numPr>
            </w:pPr>
            <w:r>
              <w:t>ACT (Stamp Duty)</w:t>
            </w:r>
          </w:p>
        </w:tc>
        <w:tc>
          <w:tcPr>
            <w:tcW w:w="4252" w:type="dxa"/>
            <w:shd w:val="clear" w:color="auto" w:fill="auto"/>
          </w:tcPr>
          <w:p w14:paraId="13346002" w14:textId="77777777" w:rsidR="000E32C8" w:rsidRDefault="00000000" w:rsidP="00132656">
            <w:pPr>
              <w:pStyle w:val="BodyText"/>
              <w:numPr>
                <w:ilvl w:val="0"/>
                <w:numId w:val="0"/>
              </w:numPr>
            </w:pPr>
            <w:hyperlink r:id="rId37" w:history="1">
              <w:r w:rsidR="000E32C8" w:rsidRPr="00132656">
                <w:t>Abolished</w:t>
              </w:r>
            </w:hyperlink>
            <w:r w:rsidR="000E32C8">
              <w:t xml:space="preserve"> 01/07/16</w:t>
            </w:r>
          </w:p>
        </w:tc>
        <w:tc>
          <w:tcPr>
            <w:tcW w:w="1587" w:type="dxa"/>
            <w:shd w:val="clear" w:color="auto" w:fill="auto"/>
          </w:tcPr>
          <w:p w14:paraId="5B53F9E7" w14:textId="77777777" w:rsidR="000E32C8" w:rsidRDefault="000E32C8" w:rsidP="001D53F1">
            <w:pPr>
              <w:pStyle w:val="BodyText"/>
              <w:numPr>
                <w:ilvl w:val="0"/>
                <w:numId w:val="0"/>
              </w:numPr>
            </w:pPr>
            <w:r>
              <w:t>Not Applicable</w:t>
            </w:r>
          </w:p>
        </w:tc>
      </w:tr>
      <w:tr w:rsidR="00EF518C" w14:paraId="1B04710F" w14:textId="77777777" w:rsidTr="00027A34">
        <w:tc>
          <w:tcPr>
            <w:tcW w:w="1809" w:type="dxa"/>
            <w:shd w:val="clear" w:color="auto" w:fill="auto"/>
          </w:tcPr>
          <w:p w14:paraId="0259DA34" w14:textId="77777777" w:rsidR="00EF518C" w:rsidRDefault="00EF518C" w:rsidP="002607EF">
            <w:pPr>
              <w:pStyle w:val="BodyText"/>
              <w:numPr>
                <w:ilvl w:val="0"/>
                <w:numId w:val="0"/>
              </w:numPr>
            </w:pPr>
            <w:r>
              <w:t>NT (Stamp Duty)</w:t>
            </w:r>
          </w:p>
        </w:tc>
        <w:tc>
          <w:tcPr>
            <w:tcW w:w="4252" w:type="dxa"/>
            <w:shd w:val="clear" w:color="auto" w:fill="auto"/>
          </w:tcPr>
          <w:p w14:paraId="4C14B22A" w14:textId="77777777" w:rsidR="00EF518C" w:rsidRDefault="00000000" w:rsidP="002607EF">
            <w:pPr>
              <w:pStyle w:val="BodyText"/>
              <w:numPr>
                <w:ilvl w:val="0"/>
                <w:numId w:val="0"/>
              </w:numPr>
            </w:pPr>
            <w:hyperlink r:id="rId38" w:history="1">
              <w:r w:rsidR="00132656" w:rsidRPr="00132656">
                <w:rPr>
                  <w:rStyle w:val="Hyperlink"/>
                </w:rPr>
                <w:t>http://www.treasury.nt.gov.au/TaxesRoyaltiesAndGrants/StampDuty/Pages/default.aspx</w:t>
              </w:r>
            </w:hyperlink>
          </w:p>
        </w:tc>
        <w:tc>
          <w:tcPr>
            <w:tcW w:w="1587" w:type="dxa"/>
            <w:shd w:val="clear" w:color="auto" w:fill="auto"/>
          </w:tcPr>
          <w:p w14:paraId="5103D4B8" w14:textId="77777777" w:rsidR="00EF518C" w:rsidRDefault="00EF518C" w:rsidP="002607EF">
            <w:pPr>
              <w:pStyle w:val="BodyText"/>
              <w:numPr>
                <w:ilvl w:val="0"/>
                <w:numId w:val="0"/>
              </w:numPr>
            </w:pPr>
            <w:r>
              <w:t>Following month of receipt</w:t>
            </w:r>
          </w:p>
        </w:tc>
      </w:tr>
      <w:tr w:rsidR="00EF518C" w14:paraId="6ECEEB7C" w14:textId="77777777" w:rsidTr="00027A34">
        <w:tc>
          <w:tcPr>
            <w:tcW w:w="1809" w:type="dxa"/>
            <w:shd w:val="clear" w:color="auto" w:fill="auto"/>
          </w:tcPr>
          <w:p w14:paraId="14721A9A" w14:textId="77777777" w:rsidR="00EF518C" w:rsidRDefault="00EF518C" w:rsidP="002607EF">
            <w:pPr>
              <w:pStyle w:val="BodyText"/>
              <w:numPr>
                <w:ilvl w:val="0"/>
                <w:numId w:val="0"/>
              </w:numPr>
            </w:pPr>
            <w:r>
              <w:t>Witholding Tax</w:t>
            </w:r>
          </w:p>
        </w:tc>
        <w:tc>
          <w:tcPr>
            <w:tcW w:w="4252" w:type="dxa"/>
            <w:shd w:val="clear" w:color="auto" w:fill="auto"/>
          </w:tcPr>
          <w:p w14:paraId="78734ABA" w14:textId="77777777" w:rsidR="00EF518C" w:rsidRDefault="00000000" w:rsidP="002607EF">
            <w:pPr>
              <w:pStyle w:val="BodyText"/>
              <w:numPr>
                <w:ilvl w:val="0"/>
                <w:numId w:val="0"/>
              </w:numPr>
            </w:pPr>
            <w:hyperlink r:id="rId39" w:history="1">
              <w:r w:rsidR="000E32C8" w:rsidRPr="000E32C8">
                <w:rPr>
                  <w:rStyle w:val="Hyperlink"/>
                </w:rPr>
                <w:t>https://www.ato.gov.au/Business/International-tax-for-business/In-detail/Australian-income-of-foreign-residents/Insurance-with-foreign-resident-insurers/</w:t>
              </w:r>
            </w:hyperlink>
          </w:p>
        </w:tc>
        <w:tc>
          <w:tcPr>
            <w:tcW w:w="1587" w:type="dxa"/>
            <w:shd w:val="clear" w:color="auto" w:fill="auto"/>
          </w:tcPr>
          <w:p w14:paraId="7A06B807" w14:textId="77777777" w:rsidR="00EF518C" w:rsidRDefault="00EF518C" w:rsidP="002607EF">
            <w:pPr>
              <w:pStyle w:val="BodyText"/>
              <w:numPr>
                <w:ilvl w:val="0"/>
                <w:numId w:val="0"/>
              </w:numPr>
            </w:pPr>
            <w:r>
              <w:t>1</w:t>
            </w:r>
            <w:r w:rsidRPr="002607EF">
              <w:rPr>
                <w:vertAlign w:val="superscript"/>
              </w:rPr>
              <w:t>st</w:t>
            </w:r>
            <w:r>
              <w:t xml:space="preserve"> December after the </w:t>
            </w:r>
            <w:proofErr w:type="gramStart"/>
            <w:r>
              <w:t>financial year</w:t>
            </w:r>
            <w:proofErr w:type="gramEnd"/>
            <w:r>
              <w:t xml:space="preserve"> of collection</w:t>
            </w:r>
          </w:p>
        </w:tc>
      </w:tr>
      <w:tr w:rsidR="00460538" w14:paraId="7AC458EE" w14:textId="77777777" w:rsidTr="00027A34">
        <w:tc>
          <w:tcPr>
            <w:tcW w:w="1809" w:type="dxa"/>
            <w:shd w:val="clear" w:color="auto" w:fill="auto"/>
          </w:tcPr>
          <w:p w14:paraId="132CF97F" w14:textId="77777777" w:rsidR="00460538" w:rsidRDefault="00AE6CD4" w:rsidP="00027A34">
            <w:pPr>
              <w:pStyle w:val="BodyText"/>
              <w:numPr>
                <w:ilvl w:val="0"/>
                <w:numId w:val="0"/>
              </w:numPr>
            </w:pPr>
            <w:r>
              <w:t>Vic FSL</w:t>
            </w:r>
          </w:p>
        </w:tc>
        <w:tc>
          <w:tcPr>
            <w:tcW w:w="4252" w:type="dxa"/>
            <w:shd w:val="clear" w:color="auto" w:fill="auto"/>
          </w:tcPr>
          <w:p w14:paraId="3F6C43F2" w14:textId="77777777" w:rsidR="00460538" w:rsidRDefault="00000000" w:rsidP="000E32C8">
            <w:pPr>
              <w:pStyle w:val="BodyText"/>
              <w:numPr>
                <w:ilvl w:val="0"/>
                <w:numId w:val="0"/>
              </w:numPr>
            </w:pPr>
            <w:hyperlink r:id="rId40" w:history="1">
              <w:r w:rsidR="000E32C8" w:rsidRPr="00132656">
                <w:t>Abolished</w:t>
              </w:r>
            </w:hyperlink>
            <w:r w:rsidR="000E32C8">
              <w:t xml:space="preserve"> 01/07/13</w:t>
            </w:r>
          </w:p>
        </w:tc>
        <w:tc>
          <w:tcPr>
            <w:tcW w:w="1587" w:type="dxa"/>
            <w:shd w:val="clear" w:color="auto" w:fill="auto"/>
          </w:tcPr>
          <w:p w14:paraId="37776757" w14:textId="77777777" w:rsidR="00460538" w:rsidRDefault="000E32C8" w:rsidP="002607EF">
            <w:pPr>
              <w:pStyle w:val="BodyText"/>
              <w:numPr>
                <w:ilvl w:val="0"/>
                <w:numId w:val="0"/>
              </w:numPr>
            </w:pPr>
            <w:r>
              <w:t>Not Applicable</w:t>
            </w:r>
          </w:p>
        </w:tc>
      </w:tr>
      <w:tr w:rsidR="00460538" w14:paraId="09EAD336" w14:textId="77777777" w:rsidTr="00027A34">
        <w:tc>
          <w:tcPr>
            <w:tcW w:w="1809" w:type="dxa"/>
            <w:shd w:val="clear" w:color="auto" w:fill="auto"/>
          </w:tcPr>
          <w:p w14:paraId="5994AAFB" w14:textId="77777777" w:rsidR="00460538" w:rsidRDefault="00DB241E" w:rsidP="002607EF">
            <w:pPr>
              <w:pStyle w:val="BodyText"/>
              <w:numPr>
                <w:ilvl w:val="0"/>
                <w:numId w:val="0"/>
              </w:numPr>
            </w:pPr>
            <w:r>
              <w:t>NSW F &amp; ES Levy</w:t>
            </w:r>
          </w:p>
        </w:tc>
        <w:tc>
          <w:tcPr>
            <w:tcW w:w="4252" w:type="dxa"/>
            <w:shd w:val="clear" w:color="auto" w:fill="auto"/>
          </w:tcPr>
          <w:p w14:paraId="3770373A" w14:textId="77777777" w:rsidR="00460538" w:rsidRDefault="000E32C8" w:rsidP="002607EF">
            <w:pPr>
              <w:pStyle w:val="BodyText"/>
              <w:numPr>
                <w:ilvl w:val="0"/>
                <w:numId w:val="0"/>
              </w:numPr>
            </w:pPr>
            <w:r w:rsidRPr="000E32C8">
              <w:t>http://www.revenue.nsw.gov.au/taxes/esl</w:t>
            </w:r>
          </w:p>
        </w:tc>
        <w:tc>
          <w:tcPr>
            <w:tcW w:w="1587" w:type="dxa"/>
            <w:shd w:val="clear" w:color="auto" w:fill="auto"/>
          </w:tcPr>
          <w:p w14:paraId="67036FF4" w14:textId="77777777" w:rsidR="00460538" w:rsidRDefault="00F21A17" w:rsidP="002607EF">
            <w:pPr>
              <w:pStyle w:val="BodyText"/>
              <w:numPr>
                <w:ilvl w:val="0"/>
                <w:numId w:val="0"/>
              </w:numPr>
            </w:pPr>
            <w:r>
              <w:t>21 days after end of month</w:t>
            </w:r>
          </w:p>
        </w:tc>
      </w:tr>
      <w:tr w:rsidR="008B60CD" w14:paraId="22497620" w14:textId="77777777" w:rsidTr="00027A34">
        <w:tc>
          <w:tcPr>
            <w:tcW w:w="1809" w:type="dxa"/>
            <w:shd w:val="clear" w:color="auto" w:fill="auto"/>
          </w:tcPr>
          <w:p w14:paraId="10B583DB" w14:textId="77777777" w:rsidR="008B60CD" w:rsidRDefault="008B60CD" w:rsidP="002607EF">
            <w:pPr>
              <w:pStyle w:val="BodyText"/>
              <w:numPr>
                <w:ilvl w:val="0"/>
                <w:numId w:val="0"/>
              </w:numPr>
            </w:pPr>
            <w:r>
              <w:t>Tas FSL</w:t>
            </w:r>
          </w:p>
        </w:tc>
        <w:tc>
          <w:tcPr>
            <w:tcW w:w="4252" w:type="dxa"/>
            <w:shd w:val="clear" w:color="auto" w:fill="auto"/>
          </w:tcPr>
          <w:p w14:paraId="1E9015BE" w14:textId="77777777" w:rsidR="008B60CD" w:rsidRDefault="008B60CD" w:rsidP="002607EF">
            <w:pPr>
              <w:pStyle w:val="BodyText"/>
              <w:numPr>
                <w:ilvl w:val="0"/>
                <w:numId w:val="0"/>
              </w:numPr>
            </w:pPr>
            <w:r>
              <w:t>No specific website reference able to be located</w:t>
            </w:r>
          </w:p>
        </w:tc>
        <w:tc>
          <w:tcPr>
            <w:tcW w:w="1587" w:type="dxa"/>
            <w:shd w:val="clear" w:color="auto" w:fill="auto"/>
          </w:tcPr>
          <w:p w14:paraId="189EE1CF" w14:textId="77777777" w:rsidR="008B60CD" w:rsidRDefault="008B60CD" w:rsidP="000D126A">
            <w:pPr>
              <w:pStyle w:val="BodyText"/>
              <w:numPr>
                <w:ilvl w:val="0"/>
                <w:numId w:val="0"/>
              </w:numPr>
            </w:pPr>
            <w:r>
              <w:t>21 days after end of month</w:t>
            </w:r>
          </w:p>
        </w:tc>
      </w:tr>
    </w:tbl>
    <w:p w14:paraId="77457EBE" w14:textId="77777777" w:rsidR="004D6178" w:rsidRDefault="004D6178" w:rsidP="00E10FE7">
      <w:pPr>
        <w:pStyle w:val="Heading1"/>
      </w:pPr>
      <w:bookmarkStart w:id="27" w:name="_Toc106600779"/>
      <w:r>
        <w:lastRenderedPageBreak/>
        <w:t>FINANCIAL HARDSHIP</w:t>
      </w:r>
      <w:bookmarkEnd w:id="27"/>
    </w:p>
    <w:p w14:paraId="401C260D" w14:textId="77777777" w:rsidR="004D6178" w:rsidRPr="004D6178" w:rsidRDefault="004D6178" w:rsidP="004D6178">
      <w:pPr>
        <w:pStyle w:val="Heading2"/>
        <w:rPr>
          <w:rFonts w:ascii="Arial" w:hAnsi="Arial" w:cs="Arial"/>
          <w:color w:val="555555"/>
          <w:sz w:val="24"/>
          <w:lang w:val="en-AU" w:eastAsia="en-AU"/>
        </w:rPr>
      </w:pPr>
      <w:bookmarkStart w:id="28" w:name="_Toc106600780"/>
      <w:r>
        <w:t>Introduction</w:t>
      </w:r>
      <w:bookmarkEnd w:id="28"/>
    </w:p>
    <w:p w14:paraId="12EC9146" w14:textId="62C4DED0" w:rsidR="00BE66FB" w:rsidRPr="003308AA" w:rsidRDefault="00E74352" w:rsidP="004D6178">
      <w:pPr>
        <w:pStyle w:val="BodyText"/>
        <w:rPr>
          <w:sz w:val="24"/>
          <w:lang w:val="en-AU" w:eastAsia="en-AU"/>
        </w:rPr>
      </w:pPr>
      <w:r>
        <w:t xml:space="preserve">The </w:t>
      </w:r>
      <w:r w:rsidR="00BE66FB">
        <w:t xml:space="preserve">Banking </w:t>
      </w:r>
      <w:r>
        <w:t>Code of Practice</w:t>
      </w:r>
      <w:r w:rsidR="00BE66FB">
        <w:t xml:space="preserve">, </w:t>
      </w:r>
      <w:r>
        <w:t>the National Credit Code</w:t>
      </w:r>
      <w:r w:rsidR="006F372D">
        <w:t xml:space="preserve">, </w:t>
      </w:r>
      <w:r w:rsidR="00BE66FB">
        <w:t xml:space="preserve">the General Insurance Code of </w:t>
      </w:r>
      <w:proofErr w:type="gramStart"/>
      <w:r w:rsidR="00BE66FB">
        <w:t>Practice</w:t>
      </w:r>
      <w:proofErr w:type="gramEnd"/>
      <w:r w:rsidR="00BE66FB">
        <w:t xml:space="preserve"> </w:t>
      </w:r>
      <w:r w:rsidR="006F372D">
        <w:t xml:space="preserve">and the Insurance Brokers Code of Practice </w:t>
      </w:r>
      <w:r w:rsidR="00BE66FB">
        <w:t xml:space="preserve">all place </w:t>
      </w:r>
      <w:r>
        <w:t xml:space="preserve">obligations on </w:t>
      </w:r>
      <w:r w:rsidR="00BE66FB">
        <w:t>financial services businesses to address any financial hardship being faced by the clients they are seeking monies from, either by way of loan repayments, claim recoveries, mortgage defaults etc.  These obligations flow on to the various service providers and intermediaries engaged by the businesses.</w:t>
      </w:r>
    </w:p>
    <w:p w14:paraId="46281FCB" w14:textId="77777777" w:rsidR="006F372D" w:rsidRPr="006F372D" w:rsidRDefault="006F372D" w:rsidP="004D6178">
      <w:pPr>
        <w:pStyle w:val="BodyText"/>
        <w:rPr>
          <w:sz w:val="24"/>
          <w:lang w:val="en-AU" w:eastAsia="en-AU"/>
        </w:rPr>
      </w:pPr>
      <w:r>
        <w:t xml:space="preserve">In addition to the specific obligations that may </w:t>
      </w:r>
      <w:proofErr w:type="gramStart"/>
      <w:r>
        <w:t>be imposed</w:t>
      </w:r>
      <w:proofErr w:type="gramEnd"/>
      <w:r>
        <w:t xml:space="preserve"> upon us by the abovementioned Codes, </w:t>
      </w:r>
      <w:r w:rsidR="005F7700">
        <w:t>the broader community expects us to act compassionately to those facing financial hardship.</w:t>
      </w:r>
    </w:p>
    <w:p w14:paraId="170AED7F" w14:textId="323CFDE9" w:rsidR="005F7700" w:rsidRPr="003308AA" w:rsidRDefault="005F7700" w:rsidP="004D6178">
      <w:pPr>
        <w:pStyle w:val="BodyText"/>
        <w:rPr>
          <w:sz w:val="24"/>
          <w:lang w:val="en-AU" w:eastAsia="en-AU"/>
        </w:rPr>
      </w:pPr>
      <w:r>
        <w:t xml:space="preserve">Our approach to financial hardship is also based on </w:t>
      </w:r>
      <w:r w:rsidR="004D6178">
        <w:t xml:space="preserve">our commitment to being a good corporate system and treating clients in </w:t>
      </w:r>
      <w:r w:rsidR="00AE6CD4">
        <w:t xml:space="preserve">the same </w:t>
      </w:r>
      <w:r w:rsidR="00E82598">
        <w:t>way</w:t>
      </w:r>
      <w:r w:rsidR="004D6178">
        <w:t xml:space="preserve"> we would like </w:t>
      </w:r>
      <w:r>
        <w:t>ourselves, family and friends treated.</w:t>
      </w:r>
    </w:p>
    <w:p w14:paraId="1945E746" w14:textId="77777777" w:rsidR="003308AA" w:rsidRPr="00BE66FB" w:rsidRDefault="003308AA" w:rsidP="003308AA">
      <w:pPr>
        <w:pStyle w:val="BodyText"/>
        <w:rPr>
          <w:sz w:val="24"/>
          <w:lang w:val="en-AU" w:eastAsia="en-AU"/>
        </w:rPr>
      </w:pPr>
      <w:r>
        <w:t>The 2019 Insurance Broker Code Compliance survey also addressed the way that we manage financial hardship.</w:t>
      </w:r>
    </w:p>
    <w:p w14:paraId="29C61C82" w14:textId="77777777" w:rsidR="004D6178" w:rsidRPr="00E74352" w:rsidRDefault="004D6178" w:rsidP="004D6178">
      <w:pPr>
        <w:pStyle w:val="BodyText"/>
        <w:rPr>
          <w:sz w:val="24"/>
          <w:lang w:val="en-AU" w:eastAsia="en-AU"/>
        </w:rPr>
      </w:pPr>
      <w:r>
        <w:t>All financial hardship matters are to be referred to the Responsible Manager</w:t>
      </w:r>
      <w:r w:rsidR="00E74352">
        <w:t>(s)</w:t>
      </w:r>
      <w:r>
        <w:t xml:space="preserve"> </w:t>
      </w:r>
      <w:r w:rsidR="00E74352">
        <w:t xml:space="preserve">who will </w:t>
      </w:r>
      <w:r w:rsidR="005F7700">
        <w:t xml:space="preserve">authorise, </w:t>
      </w:r>
      <w:proofErr w:type="gramStart"/>
      <w:r w:rsidR="00E74352">
        <w:t>overview</w:t>
      </w:r>
      <w:proofErr w:type="gramEnd"/>
      <w:r w:rsidR="00E74352">
        <w:t xml:space="preserve"> and monitor all aspects of the way in which we respond to and support clients facing financial hardship.</w:t>
      </w:r>
    </w:p>
    <w:p w14:paraId="304063EB" w14:textId="77777777" w:rsidR="00E74352" w:rsidRPr="00E74352" w:rsidRDefault="00E74352" w:rsidP="004D6178">
      <w:pPr>
        <w:pStyle w:val="BodyText"/>
        <w:rPr>
          <w:sz w:val="24"/>
          <w:lang w:val="en-AU" w:eastAsia="en-AU"/>
        </w:rPr>
      </w:pPr>
      <w:r>
        <w:t xml:space="preserve">Financial hardship is defined as - When a </w:t>
      </w:r>
      <w:r w:rsidR="0021370B">
        <w:t>client</w:t>
      </w:r>
      <w:r>
        <w:t xml:space="preserve"> is willing and has the intention to </w:t>
      </w:r>
      <w:proofErr w:type="gramStart"/>
      <w:r>
        <w:t>pay, but</w:t>
      </w:r>
      <w:proofErr w:type="gramEnd"/>
      <w:r>
        <w:t xml:space="preserve"> is unable to meet their repayments or existing financial obligations, and with formal hardship assistance their financial situation can be restored.</w:t>
      </w:r>
    </w:p>
    <w:p w14:paraId="31460D28" w14:textId="77777777" w:rsidR="00E74352" w:rsidRPr="00E74352" w:rsidRDefault="00E74352" w:rsidP="004D6178">
      <w:pPr>
        <w:pStyle w:val="BodyText"/>
        <w:rPr>
          <w:sz w:val="24"/>
          <w:lang w:val="en-AU" w:eastAsia="en-AU"/>
        </w:rPr>
      </w:pPr>
      <w:r>
        <w:t xml:space="preserve">Financial hardship can be due unforeseen circumstances or unexpected events, for example: </w:t>
      </w:r>
    </w:p>
    <w:p w14:paraId="677388C0" w14:textId="77777777" w:rsidR="00E74352" w:rsidRPr="00E74352" w:rsidRDefault="00E74352" w:rsidP="00E74352">
      <w:pPr>
        <w:pStyle w:val="Bullet1"/>
        <w:rPr>
          <w:sz w:val="24"/>
          <w:lang w:val="en-AU" w:eastAsia="en-AU"/>
        </w:rPr>
      </w:pPr>
      <w:r>
        <w:t>Unexpected changes in income and/or expenditure.</w:t>
      </w:r>
    </w:p>
    <w:p w14:paraId="56522A0E" w14:textId="77777777" w:rsidR="00E74352" w:rsidRPr="00E74352" w:rsidRDefault="00E74352" w:rsidP="00E74352">
      <w:pPr>
        <w:pStyle w:val="Bullet1"/>
        <w:rPr>
          <w:sz w:val="24"/>
          <w:lang w:val="en-AU" w:eastAsia="en-AU"/>
        </w:rPr>
      </w:pPr>
      <w:r>
        <w:t>Changes in employment status (such as losing a job or a reduction in income).</w:t>
      </w:r>
    </w:p>
    <w:p w14:paraId="2924420A" w14:textId="77777777" w:rsidR="0021370B" w:rsidRPr="0021370B" w:rsidRDefault="00E74352" w:rsidP="00E74352">
      <w:pPr>
        <w:pStyle w:val="Bullet1"/>
        <w:rPr>
          <w:sz w:val="24"/>
          <w:lang w:val="en-AU" w:eastAsia="en-AU"/>
        </w:rPr>
      </w:pPr>
      <w:r>
        <w:t>Significant life events (such as a relationship breakdown or a death in the family).</w:t>
      </w:r>
    </w:p>
    <w:p w14:paraId="6F064323" w14:textId="77777777" w:rsidR="0021370B" w:rsidRPr="0021370B" w:rsidRDefault="00E74352" w:rsidP="00E74352">
      <w:pPr>
        <w:pStyle w:val="Bullet1"/>
        <w:rPr>
          <w:sz w:val="24"/>
          <w:lang w:val="en-AU" w:eastAsia="en-AU"/>
        </w:rPr>
      </w:pPr>
      <w:r>
        <w:t xml:space="preserve">Circumstances of financial abuse where the financial liability arose from a situation of family and domestic violence or financial difficulty </w:t>
      </w:r>
      <w:proofErr w:type="gramStart"/>
      <w:r>
        <w:t>being experienced</w:t>
      </w:r>
      <w:proofErr w:type="gramEnd"/>
      <w:r>
        <w:t xml:space="preserve"> by a person leaving a violent relationship.</w:t>
      </w:r>
    </w:p>
    <w:p w14:paraId="5E4A76D2" w14:textId="77777777" w:rsidR="0021370B" w:rsidRPr="0021370B" w:rsidRDefault="00E74352" w:rsidP="00E74352">
      <w:pPr>
        <w:pStyle w:val="Bullet1"/>
        <w:rPr>
          <w:sz w:val="24"/>
          <w:lang w:val="en-AU" w:eastAsia="en-AU"/>
        </w:rPr>
      </w:pPr>
      <w:r>
        <w:t>Injury or illness.</w:t>
      </w:r>
    </w:p>
    <w:p w14:paraId="69BD3FB6" w14:textId="77777777" w:rsidR="00E74352" w:rsidRPr="004D6178" w:rsidRDefault="00E74352" w:rsidP="00E74352">
      <w:pPr>
        <w:pStyle w:val="Bullet1"/>
        <w:rPr>
          <w:sz w:val="24"/>
          <w:lang w:val="en-AU" w:eastAsia="en-AU"/>
        </w:rPr>
      </w:pPr>
      <w:r>
        <w:t>Emergency event or natural disaster</w:t>
      </w:r>
    </w:p>
    <w:p w14:paraId="1C4218C3" w14:textId="77777777" w:rsidR="004D6178" w:rsidRPr="004D6178" w:rsidRDefault="004D6178" w:rsidP="004D6178">
      <w:pPr>
        <w:pStyle w:val="Heading2"/>
        <w:rPr>
          <w:lang w:val="en-AU" w:eastAsia="en-AU"/>
        </w:rPr>
      </w:pPr>
      <w:bookmarkStart w:id="29" w:name="_Toc106600781"/>
      <w:r>
        <w:rPr>
          <w:lang w:val="en-AU" w:eastAsia="en-AU"/>
        </w:rPr>
        <w:t>Our Approach</w:t>
      </w:r>
      <w:bookmarkEnd w:id="29"/>
    </w:p>
    <w:p w14:paraId="2EBCBD0B" w14:textId="77777777" w:rsidR="00DF56BA" w:rsidRPr="00DF56BA" w:rsidRDefault="004D6178" w:rsidP="004D6178">
      <w:pPr>
        <w:pStyle w:val="BodyText"/>
        <w:rPr>
          <w:sz w:val="24"/>
          <w:lang w:val="en-AU" w:eastAsia="en-AU"/>
        </w:rPr>
      </w:pPr>
      <w:r>
        <w:t xml:space="preserve">Where we identify clients that </w:t>
      </w:r>
      <w:r w:rsidRPr="004D6178">
        <w:t xml:space="preserve">are concerned or worried about </w:t>
      </w:r>
      <w:r>
        <w:t xml:space="preserve">their </w:t>
      </w:r>
      <w:r w:rsidRPr="004D6178">
        <w:t xml:space="preserve">financial position and think that </w:t>
      </w:r>
      <w:r>
        <w:t xml:space="preserve">they </w:t>
      </w:r>
      <w:r w:rsidRPr="004D6178">
        <w:t xml:space="preserve">may have difficulty making </w:t>
      </w:r>
      <w:r w:rsidR="00DF56BA">
        <w:t xml:space="preserve">their </w:t>
      </w:r>
      <w:r w:rsidR="00351C70">
        <w:t xml:space="preserve">invoice, </w:t>
      </w:r>
      <w:r>
        <w:t>prem</w:t>
      </w:r>
      <w:r w:rsidR="00DF56BA">
        <w:t>i</w:t>
      </w:r>
      <w:r>
        <w:t xml:space="preserve">um </w:t>
      </w:r>
      <w:proofErr w:type="gramStart"/>
      <w:r>
        <w:t>funding</w:t>
      </w:r>
      <w:proofErr w:type="gramEnd"/>
      <w:r>
        <w:t xml:space="preserve"> or </w:t>
      </w:r>
      <w:r w:rsidR="00DF56BA">
        <w:t>o</w:t>
      </w:r>
      <w:r>
        <w:t>ther prem</w:t>
      </w:r>
      <w:r w:rsidR="00DF56BA">
        <w:t>i</w:t>
      </w:r>
      <w:r>
        <w:t>um instalment payments</w:t>
      </w:r>
      <w:r w:rsidR="00DF56BA">
        <w:t xml:space="preserve"> we should do our best to assist them.</w:t>
      </w:r>
    </w:p>
    <w:p w14:paraId="19AD1E6C" w14:textId="77777777" w:rsidR="00DF56BA" w:rsidRDefault="004D6178" w:rsidP="00DF56BA">
      <w:pPr>
        <w:pStyle w:val="BodyText"/>
      </w:pPr>
      <w:r>
        <w:t xml:space="preserve">In times of stress, </w:t>
      </w:r>
      <w:r w:rsidR="0021370B">
        <w:t xml:space="preserve">clients </w:t>
      </w:r>
      <w:r>
        <w:t>do</w:t>
      </w:r>
      <w:r w:rsidR="00DF56BA">
        <w:t xml:space="preserve"> </w:t>
      </w:r>
      <w:r>
        <w:t>n</w:t>
      </w:r>
      <w:r w:rsidR="00DF56BA">
        <w:t>o</w:t>
      </w:r>
      <w:r>
        <w:t xml:space="preserve">t need the anxiety of </w:t>
      </w:r>
      <w:r w:rsidR="00DF56BA">
        <w:t xml:space="preserve">their </w:t>
      </w:r>
      <w:r>
        <w:t xml:space="preserve">financial situation </w:t>
      </w:r>
      <w:proofErr w:type="gramStart"/>
      <w:r>
        <w:t>adding</w:t>
      </w:r>
      <w:proofErr w:type="gramEnd"/>
      <w:r>
        <w:t xml:space="preserve"> to </w:t>
      </w:r>
      <w:r w:rsidR="00DF56BA">
        <w:t xml:space="preserve">their </w:t>
      </w:r>
      <w:r>
        <w:t>worries</w:t>
      </w:r>
      <w:proofErr w:type="gramStart"/>
      <w:r>
        <w:t xml:space="preserve">. </w:t>
      </w:r>
      <w:r w:rsidR="00DF56BA">
        <w:t xml:space="preserve"> </w:t>
      </w:r>
      <w:proofErr w:type="gramEnd"/>
      <w:r w:rsidR="00DF56BA">
        <w:t xml:space="preserve">We are committed to </w:t>
      </w:r>
      <w:proofErr w:type="gramStart"/>
      <w:r w:rsidR="00DF56BA">
        <w:t>working</w:t>
      </w:r>
      <w:proofErr w:type="gramEnd"/>
      <w:r w:rsidR="00DF56BA">
        <w:t xml:space="preserve"> with </w:t>
      </w:r>
      <w:r w:rsidR="0021370B">
        <w:t xml:space="preserve">clients </w:t>
      </w:r>
      <w:r>
        <w:t xml:space="preserve">to </w:t>
      </w:r>
      <w:r w:rsidR="0021370B">
        <w:t xml:space="preserve">best </w:t>
      </w:r>
      <w:r>
        <w:t xml:space="preserve">manage </w:t>
      </w:r>
      <w:r w:rsidR="00DF56BA">
        <w:t xml:space="preserve">where possible and practical their </w:t>
      </w:r>
      <w:r>
        <w:t xml:space="preserve">loan or </w:t>
      </w:r>
      <w:r w:rsidR="00DF56BA">
        <w:t xml:space="preserve">instalment </w:t>
      </w:r>
      <w:r>
        <w:t>payments.</w:t>
      </w:r>
    </w:p>
    <w:p w14:paraId="2174DD64" w14:textId="77777777" w:rsidR="00351C70" w:rsidRDefault="00351C70" w:rsidP="00DF56BA">
      <w:pPr>
        <w:pStyle w:val="BodyText"/>
      </w:pPr>
      <w:r>
        <w:lastRenderedPageBreak/>
        <w:t xml:space="preserve">Where a client is identified as being in financial </w:t>
      </w:r>
      <w:proofErr w:type="gramStart"/>
      <w:r>
        <w:t>hardship</w:t>
      </w:r>
      <w:proofErr w:type="gramEnd"/>
      <w:r>
        <w:t xml:space="preserve"> we should make relevant notes </w:t>
      </w:r>
      <w:proofErr w:type="gramStart"/>
      <w:r>
        <w:t>on</w:t>
      </w:r>
      <w:proofErr w:type="gramEnd"/>
      <w:r>
        <w:t xml:space="preserve"> their client file so that all of our staff and representatives are aware of the situation facing the client.</w:t>
      </w:r>
    </w:p>
    <w:p w14:paraId="1B5E1C19" w14:textId="77777777" w:rsidR="005F7700" w:rsidRDefault="005F7700" w:rsidP="00DF56BA">
      <w:pPr>
        <w:pStyle w:val="BodyText"/>
      </w:pPr>
      <w:r>
        <w:t xml:space="preserve">The assistance we offer </w:t>
      </w:r>
      <w:proofErr w:type="gramStart"/>
      <w:r>
        <w:t>is broken</w:t>
      </w:r>
      <w:proofErr w:type="gramEnd"/>
      <w:r>
        <w:t xml:space="preserve"> down into two categories:</w:t>
      </w:r>
    </w:p>
    <w:p w14:paraId="0468AB99" w14:textId="77777777" w:rsidR="00351C70" w:rsidRDefault="003308AA" w:rsidP="005F7700">
      <w:pPr>
        <w:pStyle w:val="BodyText"/>
        <w:numPr>
          <w:ilvl w:val="0"/>
          <w:numId w:val="43"/>
        </w:numPr>
      </w:pPr>
      <w:r>
        <w:t>General Support and Advice</w:t>
      </w:r>
      <w:proofErr w:type="gramStart"/>
      <w:r w:rsidR="005F7700">
        <w:t xml:space="preserve">.  </w:t>
      </w:r>
      <w:proofErr w:type="gramEnd"/>
      <w:r w:rsidR="005F7700">
        <w:t>This is where we take actions to assist and support the</w:t>
      </w:r>
      <w:r w:rsidR="00351C70">
        <w:t xml:space="preserve"> </w:t>
      </w:r>
      <w:r w:rsidR="005F7700">
        <w:t>client but do not provide any specific financial assi</w:t>
      </w:r>
      <w:r w:rsidR="00351C70">
        <w:t>s</w:t>
      </w:r>
      <w:r w:rsidR="005F7700">
        <w:t>tance</w:t>
      </w:r>
      <w:proofErr w:type="gramStart"/>
      <w:r w:rsidR="005F7700">
        <w:t>.</w:t>
      </w:r>
      <w:r w:rsidR="00351C70">
        <w:t xml:space="preserve">  </w:t>
      </w:r>
      <w:proofErr w:type="gramEnd"/>
      <w:r w:rsidR="00351C70">
        <w:t>We should always offer this assistance to our</w:t>
      </w:r>
      <w:r w:rsidR="005F7700">
        <w:t xml:space="preserve"> </w:t>
      </w:r>
      <w:proofErr w:type="gramStart"/>
      <w:r w:rsidR="005F7700">
        <w:t>client</w:t>
      </w:r>
      <w:r w:rsidR="00351C70">
        <w:t>’s</w:t>
      </w:r>
      <w:proofErr w:type="gramEnd"/>
      <w:r w:rsidR="00351C70">
        <w:t>.</w:t>
      </w:r>
    </w:p>
    <w:p w14:paraId="3E8BCF1E" w14:textId="3BDCD9DF" w:rsidR="005F7700" w:rsidRDefault="003308AA" w:rsidP="005F7700">
      <w:pPr>
        <w:pStyle w:val="BodyText"/>
        <w:numPr>
          <w:ilvl w:val="0"/>
          <w:numId w:val="43"/>
        </w:numPr>
      </w:pPr>
      <w:r>
        <w:t xml:space="preserve">Specific </w:t>
      </w:r>
      <w:r w:rsidR="00351C70">
        <w:t xml:space="preserve">Financial </w:t>
      </w:r>
      <w:r>
        <w:t>A</w:t>
      </w:r>
      <w:r w:rsidR="00351C70">
        <w:t>ssistance</w:t>
      </w:r>
      <w:proofErr w:type="gramStart"/>
      <w:r w:rsidR="00351C70">
        <w:t xml:space="preserve">.  </w:t>
      </w:r>
      <w:proofErr w:type="gramEnd"/>
      <w:r w:rsidR="00351C70">
        <w:t xml:space="preserve">This is where the company forgoes revenue, waives fees </w:t>
      </w:r>
      <w:proofErr w:type="gramStart"/>
      <w:r w:rsidR="00351C70">
        <w:t>etc.</w:t>
      </w:r>
      <w:proofErr w:type="gramEnd"/>
    </w:p>
    <w:p w14:paraId="229F051A" w14:textId="042F81F2" w:rsidR="00DB5AFA" w:rsidRDefault="00DB5AFA" w:rsidP="00DB5AFA">
      <w:pPr>
        <w:pStyle w:val="BodyText"/>
      </w:pPr>
      <w:r>
        <w:t>We have a Financial Hardship Policy Statement (</w:t>
      </w:r>
      <w:hyperlink r:id="rId41" w:history="1">
        <w:r>
          <w:rPr>
            <w:rStyle w:val="Hyperlink"/>
          </w:rPr>
          <w:t>Financial Hardship Policy Statement</w:t>
        </w:r>
      </w:hyperlink>
      <w:r>
        <w:t>) that ca</w:t>
      </w:r>
      <w:r w:rsidR="00E61C21">
        <w:t>n</w:t>
      </w:r>
      <w:r>
        <w:t xml:space="preserve"> be published on our website and should be given to any clients where financial hardship</w:t>
      </w:r>
      <w:r w:rsidR="00E61C21">
        <w:t xml:space="preserve"> </w:t>
      </w:r>
      <w:r>
        <w:t>is identified.</w:t>
      </w:r>
    </w:p>
    <w:p w14:paraId="01799AC2" w14:textId="7A5E1C70" w:rsidR="00E61C21" w:rsidRDefault="00E61C21" w:rsidP="00DB5AFA">
      <w:pPr>
        <w:pStyle w:val="BodyText"/>
      </w:pPr>
      <w:r>
        <w:t>Clients wishing to apply for Financial Hardship should be given our Financial Hardship Application Form (</w:t>
      </w:r>
      <w:hyperlink r:id="rId42" w:history="1">
        <w:r>
          <w:rPr>
            <w:rStyle w:val="Hyperlink"/>
          </w:rPr>
          <w:t>Financial Hardship Application Form</w:t>
        </w:r>
      </w:hyperlink>
      <w:r>
        <w:t>) to complete.</w:t>
      </w:r>
    </w:p>
    <w:p w14:paraId="14959721" w14:textId="77777777" w:rsidR="0021370B" w:rsidRDefault="0021370B" w:rsidP="00DF56BA">
      <w:pPr>
        <w:pStyle w:val="Heading2"/>
      </w:pPr>
      <w:bookmarkStart w:id="30" w:name="_Toc106600782"/>
      <w:r>
        <w:t>Identifying Financial Hardship</w:t>
      </w:r>
      <w:bookmarkEnd w:id="30"/>
    </w:p>
    <w:p w14:paraId="49D38FAD" w14:textId="77777777" w:rsidR="0021370B" w:rsidRDefault="0021370B" w:rsidP="0021370B">
      <w:pPr>
        <w:pStyle w:val="BodyText"/>
      </w:pPr>
      <w:r>
        <w:t>Early identification of a client in financial hardship will maximise the opportunity for effective interventions to assist the client in meeting their financial obligations and staying insured.</w:t>
      </w:r>
    </w:p>
    <w:p w14:paraId="543BACA6" w14:textId="77777777" w:rsidR="0021370B" w:rsidRDefault="0021370B" w:rsidP="0021370B">
      <w:pPr>
        <w:pStyle w:val="BodyText"/>
      </w:pPr>
      <w:r>
        <w:t xml:space="preserve">Financial hardship may be identified by a client reporting to either </w:t>
      </w:r>
      <w:proofErr w:type="gramStart"/>
      <w:r>
        <w:t>ourselves</w:t>
      </w:r>
      <w:proofErr w:type="gramEnd"/>
      <w:r>
        <w:t xml:space="preserve"> or one of the premium </w:t>
      </w:r>
      <w:proofErr w:type="gramStart"/>
      <w:r>
        <w:t>funder</w:t>
      </w:r>
      <w:proofErr w:type="gramEnd"/>
      <w:r>
        <w:t xml:space="preserve"> or insurers that we have facilitated funding or coverage with.</w:t>
      </w:r>
    </w:p>
    <w:p w14:paraId="105B3D1E" w14:textId="77777777" w:rsidR="0021370B" w:rsidRDefault="0021370B" w:rsidP="0021370B">
      <w:pPr>
        <w:pStyle w:val="BodyText"/>
      </w:pPr>
      <w:r>
        <w:t xml:space="preserve">However, </w:t>
      </w:r>
      <w:proofErr w:type="gramStart"/>
      <w:r>
        <w:t>some</w:t>
      </w:r>
      <w:proofErr w:type="gramEnd"/>
      <w:r>
        <w:t xml:space="preserve"> clients may be unable or unwilling to identify themselves as experiencing financial hardship, as they may be vulnerable or disadvantaged.</w:t>
      </w:r>
    </w:p>
    <w:p w14:paraId="17444F17" w14:textId="77777777" w:rsidR="002F70EF" w:rsidRDefault="0021370B" w:rsidP="002F70EF">
      <w:pPr>
        <w:pStyle w:val="BodyText"/>
      </w:pPr>
      <w:r>
        <w:t>Therefore, financial hardship may also be identified when</w:t>
      </w:r>
      <w:r w:rsidR="002F70EF">
        <w:t xml:space="preserve"> </w:t>
      </w:r>
      <w:r>
        <w:t>a third party (such as a financial counsellor) reports to either ourselves  / a premium funder or insurer that a client is unable to meet their existing financial obligations (third-party identification), or</w:t>
      </w:r>
      <w:r w:rsidR="002F70EF">
        <w:t xml:space="preserve"> t</w:t>
      </w:r>
      <w:r>
        <w:t>he premium funder/insurer identifies that a client may not be able to meet their existing financial obligations (supplier identification).</w:t>
      </w:r>
    </w:p>
    <w:p w14:paraId="329AD8C2" w14:textId="77777777" w:rsidR="002F70EF" w:rsidRDefault="0021370B" w:rsidP="002F70EF">
      <w:pPr>
        <w:pStyle w:val="BodyText"/>
      </w:pPr>
      <w:r>
        <w:t>Examples of financial hardship indicators that may assist in identification of clients in financial hardship include:</w:t>
      </w:r>
    </w:p>
    <w:p w14:paraId="797A552D" w14:textId="77777777" w:rsidR="002F70EF" w:rsidRDefault="0021370B" w:rsidP="002F70EF">
      <w:pPr>
        <w:pStyle w:val="Bullet1"/>
      </w:pPr>
      <w:r>
        <w:t>unusually high charges that the c</w:t>
      </w:r>
      <w:r w:rsidR="002F70EF">
        <w:t xml:space="preserve">lient </w:t>
      </w:r>
      <w:r>
        <w:t xml:space="preserve">states they cannot </w:t>
      </w:r>
      <w:proofErr w:type="gramStart"/>
      <w:r>
        <w:t>afford</w:t>
      </w:r>
      <w:proofErr w:type="gramEnd"/>
    </w:p>
    <w:p w14:paraId="6522A338" w14:textId="77777777" w:rsidR="002F70EF" w:rsidRDefault="0021370B" w:rsidP="005F7700">
      <w:pPr>
        <w:pStyle w:val="Bullet1"/>
      </w:pPr>
      <w:r>
        <w:t xml:space="preserve">an emotional response from a client when contacted by </w:t>
      </w:r>
      <w:proofErr w:type="gramStart"/>
      <w:r w:rsidR="002F70EF">
        <w:t>ourselves</w:t>
      </w:r>
      <w:proofErr w:type="gramEnd"/>
      <w:r w:rsidR="002F70EF">
        <w:t xml:space="preserve"> or a premium funder or insurer</w:t>
      </w:r>
      <w:r>
        <w:t xml:space="preserve"> that is caused by an overdue account (e.g. anger, crying)</w:t>
      </w:r>
      <w:r w:rsidR="002F70EF">
        <w:t>.</w:t>
      </w:r>
    </w:p>
    <w:p w14:paraId="7CDC8F8E" w14:textId="77777777" w:rsidR="002F70EF" w:rsidRDefault="0021370B" w:rsidP="002F70EF">
      <w:pPr>
        <w:pStyle w:val="Bullet1"/>
      </w:pPr>
      <w:r>
        <w:t>consistent late payment (</w:t>
      </w:r>
      <w:proofErr w:type="gramStart"/>
      <w:r>
        <w:t>e.g.</w:t>
      </w:r>
      <w:proofErr w:type="gramEnd"/>
      <w:r>
        <w:t xml:space="preserve"> bills overdue by 35 days or more) by a client, or repeated part-payment and accrual of arrears</w:t>
      </w:r>
      <w:r w:rsidR="002F70EF">
        <w:t>.</w:t>
      </w:r>
    </w:p>
    <w:p w14:paraId="347C3039" w14:textId="77777777" w:rsidR="002F70EF" w:rsidRDefault="0021370B" w:rsidP="002F70EF">
      <w:pPr>
        <w:pStyle w:val="Bullet1"/>
      </w:pPr>
      <w:r>
        <w:t>a client requesting a payment plan or an extension to pay</w:t>
      </w:r>
      <w:r w:rsidR="002F70EF">
        <w:t>.</w:t>
      </w:r>
    </w:p>
    <w:p w14:paraId="1B52DB71" w14:textId="77777777" w:rsidR="002F70EF" w:rsidRDefault="0021370B" w:rsidP="002F70EF">
      <w:pPr>
        <w:pStyle w:val="Bullet1"/>
      </w:pPr>
      <w:r>
        <w:t>a client with multiple broken payment arrangements</w:t>
      </w:r>
      <w:r w:rsidR="002F70EF">
        <w:t>.</w:t>
      </w:r>
    </w:p>
    <w:p w14:paraId="54B944A2" w14:textId="77777777" w:rsidR="0021370B" w:rsidRPr="0021370B" w:rsidRDefault="0021370B" w:rsidP="002F70EF">
      <w:pPr>
        <w:pStyle w:val="Bullet1"/>
      </w:pPr>
      <w:r>
        <w:t>a client who may be vulnerable or disadv</w:t>
      </w:r>
      <w:r w:rsidR="002F70EF">
        <w:t>antaged.</w:t>
      </w:r>
    </w:p>
    <w:p w14:paraId="628AD8BC" w14:textId="77777777" w:rsidR="00DF56BA" w:rsidRDefault="003308AA" w:rsidP="00DF56BA">
      <w:pPr>
        <w:pStyle w:val="Heading2"/>
      </w:pPr>
      <w:bookmarkStart w:id="31" w:name="_Toc106600783"/>
      <w:r>
        <w:lastRenderedPageBreak/>
        <w:t>General Support and Advice</w:t>
      </w:r>
      <w:bookmarkEnd w:id="31"/>
    </w:p>
    <w:p w14:paraId="03A994FE" w14:textId="77777777" w:rsidR="004D6178" w:rsidRDefault="00DF56BA" w:rsidP="00DF56BA">
      <w:pPr>
        <w:pStyle w:val="BodyText"/>
      </w:pPr>
      <w:r>
        <w:t xml:space="preserve">Where we identify clients facing financial </w:t>
      </w:r>
      <w:r w:rsidR="00E82598">
        <w:t>hardship,</w:t>
      </w:r>
      <w:r>
        <w:t xml:space="preserve"> we will recommend that they </w:t>
      </w:r>
      <w:r w:rsidR="00E82598">
        <w:t>act</w:t>
      </w:r>
      <w:r>
        <w:t xml:space="preserve"> </w:t>
      </w:r>
      <w:r w:rsidR="004D6178">
        <w:t xml:space="preserve">as soon as possible – not only will acting quickly help </w:t>
      </w:r>
      <w:r w:rsidR="00AE6CD4">
        <w:t>them get</w:t>
      </w:r>
      <w:r w:rsidR="004D6178">
        <w:t xml:space="preserve"> back on track faster, </w:t>
      </w:r>
      <w:proofErr w:type="gramStart"/>
      <w:r w:rsidR="004D6178">
        <w:t>it</w:t>
      </w:r>
      <w:proofErr w:type="gramEnd"/>
      <w:r w:rsidR="004D6178">
        <w:t xml:space="preserve"> will also help manage the stress that goes along with worrying about </w:t>
      </w:r>
      <w:r>
        <w:t xml:space="preserve">their </w:t>
      </w:r>
      <w:r w:rsidR="004D6178">
        <w:t>finances</w:t>
      </w:r>
      <w:r>
        <w:t>.</w:t>
      </w:r>
    </w:p>
    <w:p w14:paraId="1BC58EF2" w14:textId="77777777" w:rsidR="00386268" w:rsidRDefault="00386268" w:rsidP="00DF56BA">
      <w:pPr>
        <w:pStyle w:val="BodyText"/>
      </w:pPr>
      <w:r>
        <w:t>Depending on the circumstances we should contact the premium funder or insurer on behalf of the client and request the premium funder or insurer apply their own financial hardship policies to the client and provide the client with a “period of grace” during which time all collection activities are put on hold and all late interest charges</w:t>
      </w:r>
      <w:r w:rsidR="005F7700">
        <w:t xml:space="preserve"> and related fees are </w:t>
      </w:r>
      <w:r>
        <w:t>waived.</w:t>
      </w:r>
    </w:p>
    <w:p w14:paraId="05099603" w14:textId="77777777" w:rsidR="00386268" w:rsidRDefault="00386268" w:rsidP="00DF56BA">
      <w:pPr>
        <w:pStyle w:val="BodyText"/>
      </w:pPr>
      <w:r>
        <w:t xml:space="preserve">Other options to </w:t>
      </w:r>
      <w:proofErr w:type="gramStart"/>
      <w:r>
        <w:t>be considered</w:t>
      </w:r>
      <w:proofErr w:type="gramEnd"/>
      <w:r>
        <w:t xml:space="preserve"> include expediting cash payments under a claim, </w:t>
      </w:r>
      <w:r w:rsidR="00351C70">
        <w:t xml:space="preserve">requesting insurers extend credit terms </w:t>
      </w:r>
      <w:r>
        <w:t xml:space="preserve">for </w:t>
      </w:r>
      <w:r w:rsidR="00AE6CD4">
        <w:t>a period</w:t>
      </w:r>
      <w:r>
        <w:t xml:space="preserve"> etc.</w:t>
      </w:r>
    </w:p>
    <w:p w14:paraId="5BCC9820" w14:textId="77777777" w:rsidR="005F2A41" w:rsidRDefault="00E10FE7" w:rsidP="00DF56BA">
      <w:pPr>
        <w:pStyle w:val="BodyText"/>
      </w:pPr>
      <w:r>
        <w:t>When acting as an insurance intermediary, w</w:t>
      </w:r>
      <w:r w:rsidR="00386268">
        <w:t>e should also consider insurance coverage</w:t>
      </w:r>
      <w:r w:rsidR="00351C70">
        <w:t xml:space="preserve"> and payment </w:t>
      </w:r>
      <w:r w:rsidR="00386268">
        <w:t>options that may be acceptable to the client</w:t>
      </w:r>
      <w:r w:rsidR="005F2A41">
        <w:t xml:space="preserve"> including:</w:t>
      </w:r>
    </w:p>
    <w:p w14:paraId="52F4F5D1" w14:textId="77777777" w:rsidR="005F2A41" w:rsidRDefault="005F2A41" w:rsidP="005F2A41">
      <w:pPr>
        <w:pStyle w:val="Bullet1"/>
      </w:pPr>
      <w:r>
        <w:t>Reducing policy coverage,</w:t>
      </w:r>
    </w:p>
    <w:p w14:paraId="1A8725E0" w14:textId="77777777" w:rsidR="005F2A41" w:rsidRDefault="005F2A41" w:rsidP="005F2A41">
      <w:pPr>
        <w:pStyle w:val="Bullet1"/>
      </w:pPr>
      <w:r>
        <w:t>Reducing sums insured,</w:t>
      </w:r>
    </w:p>
    <w:p w14:paraId="4DC4B8C6" w14:textId="77777777" w:rsidR="005F2A41" w:rsidRDefault="005F2A41" w:rsidP="005F2A41">
      <w:pPr>
        <w:pStyle w:val="Bullet1"/>
      </w:pPr>
      <w:r>
        <w:t>Increas</w:t>
      </w:r>
      <w:r w:rsidR="00351C70">
        <w:t xml:space="preserve">ing </w:t>
      </w:r>
      <w:r>
        <w:t>excesses,</w:t>
      </w:r>
    </w:p>
    <w:p w14:paraId="0EF158D4" w14:textId="77777777" w:rsidR="005F2A41" w:rsidRDefault="005F2A41" w:rsidP="005F2A41">
      <w:pPr>
        <w:pStyle w:val="Bullet1"/>
      </w:pPr>
      <w:r>
        <w:t>Shorten period of insurance</w:t>
      </w:r>
      <w:r w:rsidR="00351C70">
        <w:t>.</w:t>
      </w:r>
    </w:p>
    <w:p w14:paraId="5BE968C6" w14:textId="77777777" w:rsidR="00351C70" w:rsidRDefault="00351C70" w:rsidP="005F2A41">
      <w:pPr>
        <w:pStyle w:val="Bullet1"/>
      </w:pPr>
      <w:r>
        <w:t xml:space="preserve">Change payments from a </w:t>
      </w:r>
      <w:proofErr w:type="gramStart"/>
      <w:r>
        <w:t>one off</w:t>
      </w:r>
      <w:proofErr w:type="gramEnd"/>
      <w:r>
        <w:t xml:space="preserve"> annual payment to Premium Funding or implement an instalment arrangement either directly with us or via the insurer.</w:t>
      </w:r>
    </w:p>
    <w:p w14:paraId="246550C5" w14:textId="77777777" w:rsidR="00386268" w:rsidRDefault="00386268" w:rsidP="005F2A41">
      <w:pPr>
        <w:pStyle w:val="Bullet1"/>
        <w:numPr>
          <w:ilvl w:val="0"/>
          <w:numId w:val="0"/>
        </w:numPr>
        <w:ind w:left="1080"/>
      </w:pPr>
      <w:r>
        <w:t xml:space="preserve">It is better for the client to have some cover than </w:t>
      </w:r>
      <w:proofErr w:type="gramStart"/>
      <w:r>
        <w:t>none at all</w:t>
      </w:r>
      <w:proofErr w:type="gramEnd"/>
      <w:r w:rsidR="005F2A41">
        <w:t>, however we must ensure the client fully understands the ramifications of any of the potential changes above, provide a formal disclaimer and receive their written acknowledgement of same.</w:t>
      </w:r>
    </w:p>
    <w:p w14:paraId="5DD84B10" w14:textId="77777777" w:rsidR="004D6178" w:rsidRPr="00DF56BA" w:rsidRDefault="00DF56BA" w:rsidP="00DF56BA">
      <w:pPr>
        <w:pStyle w:val="BodyText"/>
      </w:pPr>
      <w:r w:rsidRPr="00DF56BA">
        <w:t xml:space="preserve">Clients should </w:t>
      </w:r>
      <w:proofErr w:type="gramStart"/>
      <w:r w:rsidRPr="00DF56BA">
        <w:t>be prompted</w:t>
      </w:r>
      <w:proofErr w:type="gramEnd"/>
      <w:r w:rsidRPr="00DF56BA">
        <w:t xml:space="preserve"> to consider the following points </w:t>
      </w:r>
      <w:r w:rsidR="004D6178" w:rsidRPr="00DF56BA">
        <w:t xml:space="preserve">which may assist </w:t>
      </w:r>
      <w:r>
        <w:t xml:space="preserve">them </w:t>
      </w:r>
      <w:r w:rsidR="004D6178" w:rsidRPr="00DF56BA">
        <w:t xml:space="preserve">if </w:t>
      </w:r>
      <w:r>
        <w:t xml:space="preserve">they </w:t>
      </w:r>
      <w:r w:rsidR="004D6178" w:rsidRPr="00DF56BA">
        <w:t>are experiencing financial difficulty:</w:t>
      </w:r>
    </w:p>
    <w:p w14:paraId="4DC4992D" w14:textId="77777777" w:rsidR="004D6178" w:rsidRDefault="005F7700" w:rsidP="00DF56BA">
      <w:pPr>
        <w:pStyle w:val="Bullet1"/>
      </w:pPr>
      <w:r>
        <w:t xml:space="preserve">Review </w:t>
      </w:r>
      <w:r w:rsidR="00DF56BA">
        <w:t xml:space="preserve">their </w:t>
      </w:r>
      <w:r w:rsidR="004D6178">
        <w:t xml:space="preserve">current financial position carefully and prioritise </w:t>
      </w:r>
      <w:r w:rsidR="00DF56BA">
        <w:t xml:space="preserve">their </w:t>
      </w:r>
      <w:r w:rsidR="004D6178">
        <w:t xml:space="preserve">expenditure and outstanding loans or </w:t>
      </w:r>
      <w:proofErr w:type="gramStart"/>
      <w:r w:rsidR="004D6178">
        <w:t>leases</w:t>
      </w:r>
      <w:proofErr w:type="gramEnd"/>
    </w:p>
    <w:p w14:paraId="0A353090" w14:textId="77777777" w:rsidR="004D6178" w:rsidRDefault="004D6178" w:rsidP="00DF56BA">
      <w:pPr>
        <w:pStyle w:val="Bullet1"/>
      </w:pPr>
      <w:proofErr w:type="gramStart"/>
      <w:r>
        <w:t>Get in touch with</w:t>
      </w:r>
      <w:proofErr w:type="gramEnd"/>
      <w:r>
        <w:t xml:space="preserve"> us as soon as </w:t>
      </w:r>
      <w:r w:rsidR="00DF56BA">
        <w:t xml:space="preserve">they </w:t>
      </w:r>
      <w:r>
        <w:t xml:space="preserve">can if </w:t>
      </w:r>
      <w:r w:rsidR="00DF56BA">
        <w:t>they a</w:t>
      </w:r>
      <w:r>
        <w:t>re having difficulties in keeping loan or lease repayment arrangements or have received letters from us</w:t>
      </w:r>
      <w:r w:rsidR="00DF56BA">
        <w:t xml:space="preserve">, premium funders or insurers </w:t>
      </w:r>
      <w:r>
        <w:t>concerning missed payments.</w:t>
      </w:r>
    </w:p>
    <w:p w14:paraId="3594B64A" w14:textId="77777777" w:rsidR="004D6178" w:rsidRDefault="004D6178" w:rsidP="00DF56BA">
      <w:pPr>
        <w:pStyle w:val="Bullet1"/>
      </w:pPr>
      <w:r>
        <w:t xml:space="preserve">If there is another party to the loan or a </w:t>
      </w:r>
      <w:r w:rsidR="00DF56BA">
        <w:t>payment obligation</w:t>
      </w:r>
      <w:r>
        <w:t xml:space="preserve">, ensure they are kept fully informed of </w:t>
      </w:r>
      <w:r w:rsidR="005F7700">
        <w:t xml:space="preserve">the client’s </w:t>
      </w:r>
      <w:proofErr w:type="gramStart"/>
      <w:r>
        <w:t>situation</w:t>
      </w:r>
      <w:proofErr w:type="gramEnd"/>
    </w:p>
    <w:p w14:paraId="252214A5" w14:textId="77777777" w:rsidR="004D6178" w:rsidRDefault="004D6178" w:rsidP="00DF56BA">
      <w:pPr>
        <w:pStyle w:val="Bullet1"/>
      </w:pPr>
      <w:r>
        <w:t xml:space="preserve">Consider any insurance policies </w:t>
      </w:r>
      <w:r w:rsidR="00DF56BA">
        <w:t xml:space="preserve">they </w:t>
      </w:r>
      <w:r>
        <w:t>may have that could assist</w:t>
      </w:r>
      <w:r w:rsidR="00DF56BA">
        <w:t xml:space="preserve"> them </w:t>
      </w:r>
      <w:r>
        <w:t xml:space="preserve">at this time and whether </w:t>
      </w:r>
      <w:r w:rsidR="00AE6CD4">
        <w:t xml:space="preserve">they </w:t>
      </w:r>
      <w:proofErr w:type="gramStart"/>
      <w:r w:rsidR="00AE6CD4">
        <w:t>are</w:t>
      </w:r>
      <w:r>
        <w:t xml:space="preserve"> entitled</w:t>
      </w:r>
      <w:proofErr w:type="gramEnd"/>
      <w:r>
        <w:t xml:space="preserve"> to make a claim for assistance.</w:t>
      </w:r>
    </w:p>
    <w:p w14:paraId="277EB6AA" w14:textId="77777777" w:rsidR="004D6178" w:rsidRDefault="004D6178" w:rsidP="00DF56BA">
      <w:pPr>
        <w:pStyle w:val="Bullet1"/>
      </w:pPr>
      <w:r>
        <w:t>Make enquiries at Centrelink to see if there is any assistance they can suggest</w:t>
      </w:r>
      <w:r w:rsidR="00DF56BA">
        <w:t>.</w:t>
      </w:r>
    </w:p>
    <w:p w14:paraId="43325E7E" w14:textId="77777777" w:rsidR="004D6178" w:rsidRDefault="004D6178" w:rsidP="00DF56BA">
      <w:pPr>
        <w:pStyle w:val="Bullet1"/>
      </w:pPr>
      <w:r>
        <w:t xml:space="preserve">See a financial advisor who may suggest ways that can help </w:t>
      </w:r>
      <w:r w:rsidR="00DF56BA">
        <w:t xml:space="preserve">them </w:t>
      </w:r>
      <w:r>
        <w:t xml:space="preserve">manage </w:t>
      </w:r>
      <w:r w:rsidR="00DF56BA">
        <w:t xml:space="preserve">their </w:t>
      </w:r>
      <w:r>
        <w:t xml:space="preserve">current </w:t>
      </w:r>
      <w:proofErr w:type="gramStart"/>
      <w:r>
        <w:t>position</w:t>
      </w:r>
      <w:proofErr w:type="gramEnd"/>
    </w:p>
    <w:p w14:paraId="7E5FCD3A" w14:textId="77777777" w:rsidR="004D6178" w:rsidRDefault="004D6178" w:rsidP="00DF56BA">
      <w:pPr>
        <w:pStyle w:val="Bullet1"/>
      </w:pPr>
      <w:r>
        <w:t xml:space="preserve">There are </w:t>
      </w:r>
      <w:proofErr w:type="gramStart"/>
      <w:r w:rsidR="00E82598">
        <w:t>several</w:t>
      </w:r>
      <w:proofErr w:type="gramEnd"/>
      <w:r>
        <w:t xml:space="preserve"> counselling services who offer free advice such as local Community Centre</w:t>
      </w:r>
      <w:r w:rsidR="00DF56BA">
        <w:t>s</w:t>
      </w:r>
      <w:r>
        <w:t xml:space="preserve"> or Legal Aid, Salvation Army etc. We </w:t>
      </w:r>
      <w:r w:rsidR="00386268">
        <w:t xml:space="preserve">will </w:t>
      </w:r>
      <w:proofErr w:type="gramStart"/>
      <w:r w:rsidR="00386268">
        <w:t>provide assistance</w:t>
      </w:r>
      <w:proofErr w:type="gramEnd"/>
      <w:r w:rsidR="00386268">
        <w:t xml:space="preserve"> with contacting these resources where practical.</w:t>
      </w:r>
    </w:p>
    <w:p w14:paraId="3C5138E2" w14:textId="77777777" w:rsidR="004D6178" w:rsidRDefault="004D6178" w:rsidP="00DF56BA">
      <w:pPr>
        <w:pStyle w:val="Bullet1"/>
      </w:pPr>
      <w:r>
        <w:lastRenderedPageBreak/>
        <w:t>Visit the</w:t>
      </w:r>
      <w:r w:rsidR="003308AA">
        <w:t xml:space="preserve"> </w:t>
      </w:r>
      <w:hyperlink r:id="rId43" w:history="1">
        <w:r w:rsidRPr="003308AA">
          <w:rPr>
            <w:rStyle w:val="Hyperlink"/>
          </w:rPr>
          <w:t>ASIC MoneySmart website</w:t>
        </w:r>
      </w:hyperlink>
      <w:r w:rsidR="003308AA">
        <w:t xml:space="preserve"> </w:t>
      </w:r>
      <w:r>
        <w:t xml:space="preserve">which provides tips on </w:t>
      </w:r>
      <w:proofErr w:type="gramStart"/>
      <w:r>
        <w:t>budgeting, and</w:t>
      </w:r>
      <w:proofErr w:type="gramEnd"/>
      <w:r>
        <w:t xml:space="preserve"> managing your finances</w:t>
      </w:r>
      <w:r w:rsidR="00386268">
        <w:t>.</w:t>
      </w:r>
    </w:p>
    <w:p w14:paraId="13001809" w14:textId="77777777" w:rsidR="00386268" w:rsidRDefault="003308AA" w:rsidP="00386268">
      <w:pPr>
        <w:pStyle w:val="Heading2"/>
      </w:pPr>
      <w:bookmarkStart w:id="32" w:name="_Toc106600784"/>
      <w:r>
        <w:t xml:space="preserve">Specific </w:t>
      </w:r>
      <w:r w:rsidR="005F2A41">
        <w:t>Financial</w:t>
      </w:r>
      <w:r w:rsidR="005F7700">
        <w:t xml:space="preserve"> </w:t>
      </w:r>
      <w:r w:rsidR="00386268">
        <w:t>Assistance</w:t>
      </w:r>
      <w:bookmarkEnd w:id="32"/>
    </w:p>
    <w:p w14:paraId="05A6D442" w14:textId="77777777" w:rsidR="005F7700" w:rsidRDefault="005F7700" w:rsidP="00386268">
      <w:pPr>
        <w:pStyle w:val="BodyText"/>
      </w:pPr>
      <w:r>
        <w:t xml:space="preserve">Apart from the supportive </w:t>
      </w:r>
      <w:r w:rsidR="003308AA">
        <w:t xml:space="preserve">and advisory </w:t>
      </w:r>
      <w:r>
        <w:t>steps referred to above, t</w:t>
      </w:r>
      <w:r w:rsidR="00631CF6">
        <w:t xml:space="preserve">o be able to determine the level of any </w:t>
      </w:r>
      <w:r w:rsidR="005F2A41">
        <w:t xml:space="preserve">financial </w:t>
      </w:r>
      <w:r w:rsidR="00631CF6">
        <w:t xml:space="preserve">assistance that we may be able to provide, we should request clients provide us with </w:t>
      </w:r>
      <w:r w:rsidR="009A76F8">
        <w:t xml:space="preserve">a </w:t>
      </w:r>
      <w:r w:rsidR="00AE6CD4">
        <w:t>proposal in relation to the assistance they would like us to provide.</w:t>
      </w:r>
    </w:p>
    <w:p w14:paraId="6C29AA49" w14:textId="77777777" w:rsidR="00631CF6" w:rsidRDefault="00AE6CD4" w:rsidP="00386268">
      <w:pPr>
        <w:pStyle w:val="BodyText"/>
      </w:pPr>
      <w:r>
        <w:t xml:space="preserve">To support this the client should also provide </w:t>
      </w:r>
      <w:r w:rsidR="00631CF6">
        <w:t>as much of the following information as is relevant to their situation:</w:t>
      </w:r>
    </w:p>
    <w:p w14:paraId="1576A935" w14:textId="77777777" w:rsidR="00AE6CD4" w:rsidRDefault="00AE6CD4" w:rsidP="00631CF6">
      <w:pPr>
        <w:pStyle w:val="Bullet1"/>
      </w:pPr>
      <w:r>
        <w:t>Brief background on the cause of their need for financial assistance.</w:t>
      </w:r>
    </w:p>
    <w:p w14:paraId="0446254F" w14:textId="77777777" w:rsidR="00631CF6" w:rsidRDefault="00631CF6" w:rsidP="00631CF6">
      <w:pPr>
        <w:pStyle w:val="Bullet1"/>
      </w:pPr>
      <w:r>
        <w:t xml:space="preserve">Recent </w:t>
      </w:r>
      <w:r w:rsidR="00E82598">
        <w:t>Pay slips</w:t>
      </w:r>
      <w:r>
        <w:t xml:space="preserve"> or Profit and Loss statements if a business.</w:t>
      </w:r>
    </w:p>
    <w:p w14:paraId="1211ED04" w14:textId="77777777" w:rsidR="00631CF6" w:rsidRDefault="00631CF6" w:rsidP="00631CF6">
      <w:pPr>
        <w:pStyle w:val="Bullet1"/>
      </w:pPr>
      <w:r>
        <w:t>Bank statements, credit card and loan statements,</w:t>
      </w:r>
    </w:p>
    <w:p w14:paraId="54BE7776" w14:textId="77777777" w:rsidR="00631CF6" w:rsidRDefault="00631CF6" w:rsidP="00631CF6">
      <w:pPr>
        <w:pStyle w:val="Bullet1"/>
      </w:pPr>
      <w:r>
        <w:t>Medical certificates indicating return to work dates,</w:t>
      </w:r>
    </w:p>
    <w:p w14:paraId="29F9CEDF" w14:textId="77777777" w:rsidR="00631CF6" w:rsidRDefault="00631CF6" w:rsidP="00631CF6">
      <w:pPr>
        <w:pStyle w:val="Bullet1"/>
      </w:pPr>
      <w:r>
        <w:t>Centrelink documentation.</w:t>
      </w:r>
    </w:p>
    <w:p w14:paraId="6F821527" w14:textId="77777777" w:rsidR="00631CF6" w:rsidRDefault="00631CF6" w:rsidP="00631CF6">
      <w:pPr>
        <w:pStyle w:val="Bullet1"/>
      </w:pPr>
      <w:r>
        <w:t>Brief details of Assets and Liabilities.</w:t>
      </w:r>
    </w:p>
    <w:p w14:paraId="6C7278B2" w14:textId="77777777" w:rsidR="00AE6CD4" w:rsidRDefault="002E1FEF" w:rsidP="00631CF6">
      <w:pPr>
        <w:pStyle w:val="Bullet1"/>
      </w:pPr>
      <w:r>
        <w:t xml:space="preserve">Age, number </w:t>
      </w:r>
      <w:proofErr w:type="gramStart"/>
      <w:r>
        <w:t>etc.</w:t>
      </w:r>
      <w:proofErr w:type="gramEnd"/>
      <w:r>
        <w:t xml:space="preserve"> of d</w:t>
      </w:r>
      <w:r w:rsidR="00AE6CD4">
        <w:t>ependent</w:t>
      </w:r>
      <w:r>
        <w:t>s</w:t>
      </w:r>
      <w:r w:rsidR="00AE6CD4">
        <w:t>,</w:t>
      </w:r>
    </w:p>
    <w:p w14:paraId="7E8D247E" w14:textId="77777777" w:rsidR="00AE6CD4" w:rsidRDefault="00AE6CD4" w:rsidP="00AE6CD4">
      <w:pPr>
        <w:pStyle w:val="Bullet1"/>
      </w:pPr>
      <w:r>
        <w:t xml:space="preserve">Any other material to our decision to </w:t>
      </w:r>
      <w:proofErr w:type="gramStart"/>
      <w:r>
        <w:t>provide assistance</w:t>
      </w:r>
      <w:proofErr w:type="gramEnd"/>
      <w:r>
        <w:t xml:space="preserve"> that the client believes is relevant.</w:t>
      </w:r>
    </w:p>
    <w:p w14:paraId="07BE0245" w14:textId="77777777" w:rsidR="00AE6CD4" w:rsidRDefault="004D6178" w:rsidP="00386268">
      <w:pPr>
        <w:pStyle w:val="BodyText"/>
      </w:pPr>
      <w:r>
        <w:t>Th</w:t>
      </w:r>
      <w:r w:rsidR="00AE6CD4">
        <w:t xml:space="preserve">e exact level of </w:t>
      </w:r>
      <w:r w:rsidR="005F2A41">
        <w:t xml:space="preserve">financial </w:t>
      </w:r>
      <w:r w:rsidR="00AE6CD4">
        <w:t xml:space="preserve">assistance that we provide </w:t>
      </w:r>
      <w:r>
        <w:t xml:space="preserve">will depend on </w:t>
      </w:r>
      <w:r w:rsidR="00386268">
        <w:t>the client</w:t>
      </w:r>
      <w:r w:rsidR="00631CF6">
        <w:t>’</w:t>
      </w:r>
      <w:r w:rsidR="00386268">
        <w:t xml:space="preserve">s </w:t>
      </w:r>
      <w:r>
        <w:t xml:space="preserve">personal circumstances and what </w:t>
      </w:r>
      <w:r w:rsidR="00386268">
        <w:t xml:space="preserve">they </w:t>
      </w:r>
      <w:r>
        <w:t xml:space="preserve">can afford so we will review </w:t>
      </w:r>
      <w:r w:rsidR="00386268">
        <w:t>their request b</w:t>
      </w:r>
      <w:r>
        <w:t xml:space="preserve">ased on its merits and </w:t>
      </w:r>
      <w:r w:rsidR="00631CF6">
        <w:t xml:space="preserve">their </w:t>
      </w:r>
      <w:r>
        <w:t>proposals.</w:t>
      </w:r>
    </w:p>
    <w:p w14:paraId="1F69B45C" w14:textId="77777777" w:rsidR="00AE6CD4" w:rsidRDefault="00AE6CD4" w:rsidP="00386268">
      <w:pPr>
        <w:pStyle w:val="BodyText"/>
      </w:pPr>
      <w:r>
        <w:t xml:space="preserve">In </w:t>
      </w:r>
      <w:proofErr w:type="gramStart"/>
      <w:r>
        <w:t>many</w:t>
      </w:r>
      <w:proofErr w:type="gramEnd"/>
      <w:r>
        <w:t xml:space="preserve"> cases as we are only acting as an intermediary</w:t>
      </w:r>
      <w:r w:rsidR="009A76F8">
        <w:t>,</w:t>
      </w:r>
      <w:r>
        <w:t xml:space="preserve"> the level of total </w:t>
      </w:r>
      <w:r w:rsidR="005F2A41">
        <w:t xml:space="preserve">financial </w:t>
      </w:r>
      <w:r>
        <w:t xml:space="preserve">assistance provided to the client will </w:t>
      </w:r>
      <w:r w:rsidR="009A76F8">
        <w:t xml:space="preserve">also </w:t>
      </w:r>
      <w:r>
        <w:t xml:space="preserve">be driven by </w:t>
      </w:r>
      <w:r w:rsidR="005F2A41">
        <w:t xml:space="preserve">the financial </w:t>
      </w:r>
      <w:r>
        <w:t>assistance provided by the premium funder or the insurer(s) involved.</w:t>
      </w:r>
    </w:p>
    <w:p w14:paraId="3538F61A" w14:textId="77777777" w:rsidR="004D6178" w:rsidRDefault="004D6178" w:rsidP="00386268">
      <w:pPr>
        <w:pStyle w:val="BodyText"/>
      </w:pPr>
      <w:r>
        <w:t xml:space="preserve">We may </w:t>
      </w:r>
      <w:proofErr w:type="gramStart"/>
      <w:r>
        <w:t>offer assistance to</w:t>
      </w:r>
      <w:proofErr w:type="gramEnd"/>
      <w:r>
        <w:t xml:space="preserve"> </w:t>
      </w:r>
      <w:r w:rsidR="00631CF6">
        <w:t xml:space="preserve">them </w:t>
      </w:r>
      <w:r>
        <w:t xml:space="preserve">if </w:t>
      </w:r>
      <w:r w:rsidR="00631CF6">
        <w:t xml:space="preserve">they </w:t>
      </w:r>
      <w:r>
        <w:t xml:space="preserve">are currently experiencing or if </w:t>
      </w:r>
      <w:r w:rsidR="00631CF6">
        <w:t>they</w:t>
      </w:r>
      <w:r>
        <w:t xml:space="preserve"> are likely to soon experience genuine financial difficulty or hardship.</w:t>
      </w:r>
    </w:p>
    <w:p w14:paraId="654624A0" w14:textId="77777777" w:rsidR="004D6178" w:rsidRDefault="004D6178" w:rsidP="00386268">
      <w:pPr>
        <w:pStyle w:val="BodyText"/>
      </w:pPr>
      <w:r>
        <w:t xml:space="preserve">This assistance can be approved on the basis that we </w:t>
      </w:r>
      <w:proofErr w:type="gramStart"/>
      <w:r>
        <w:t>reasonably expect</w:t>
      </w:r>
      <w:proofErr w:type="gramEnd"/>
      <w:r>
        <w:t xml:space="preserve"> that </w:t>
      </w:r>
      <w:r w:rsidR="00631CF6">
        <w:t xml:space="preserve">they </w:t>
      </w:r>
      <w:r>
        <w:t xml:space="preserve">will be in a position to meet </w:t>
      </w:r>
      <w:r w:rsidR="00631CF6">
        <w:t xml:space="preserve">their amended </w:t>
      </w:r>
      <w:r>
        <w:t xml:space="preserve">financial obligations </w:t>
      </w:r>
      <w:r w:rsidR="00631CF6">
        <w:t xml:space="preserve">now and </w:t>
      </w:r>
      <w:r>
        <w:t>in</w:t>
      </w:r>
      <w:r w:rsidR="00631CF6">
        <w:t>to</w:t>
      </w:r>
      <w:r>
        <w:t xml:space="preserve"> the future.</w:t>
      </w:r>
    </w:p>
    <w:p w14:paraId="4EF7FE84" w14:textId="77777777" w:rsidR="004D6178" w:rsidRDefault="004D6178" w:rsidP="00631CF6">
      <w:pPr>
        <w:pStyle w:val="BodyText"/>
      </w:pPr>
      <w:r>
        <w:t xml:space="preserve">We will consider any proposal </w:t>
      </w:r>
      <w:r w:rsidR="00631CF6">
        <w:t xml:space="preserve">they </w:t>
      </w:r>
      <w:r>
        <w:t xml:space="preserve">suggest providing it is reasonable and mutually acceptable and is based on </w:t>
      </w:r>
      <w:r w:rsidR="00631CF6">
        <w:t xml:space="preserve">their </w:t>
      </w:r>
      <w:r>
        <w:t>current financial position.</w:t>
      </w:r>
    </w:p>
    <w:sectPr w:rsidR="004D6178" w:rsidSect="005A7D43">
      <w:footerReference w:type="default" r:id="rId44"/>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EA68" w14:textId="77777777" w:rsidR="00E624C4" w:rsidRDefault="00E624C4" w:rsidP="00841A03">
      <w:pPr>
        <w:pStyle w:val="Footer"/>
      </w:pPr>
      <w:r>
        <w:separator/>
      </w:r>
    </w:p>
  </w:endnote>
  <w:endnote w:type="continuationSeparator" w:id="0">
    <w:p w14:paraId="0E497A83" w14:textId="77777777" w:rsidR="00E624C4" w:rsidRDefault="00E624C4" w:rsidP="00841A0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5516" w14:textId="77777777" w:rsidR="00AC2397" w:rsidRDefault="00AC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D58" w14:textId="77777777" w:rsidR="00AC2397" w:rsidRDefault="00AC2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2819" w14:textId="77777777" w:rsidR="00AC2397" w:rsidRDefault="00AC2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1C05" w14:textId="5C245767" w:rsidR="005F7700" w:rsidRDefault="00AC2397">
    <w:pPr>
      <w:pStyle w:val="Footer"/>
      <w:pBdr>
        <w:top w:val="single" w:sz="4" w:space="1" w:color="auto"/>
      </w:pBdr>
    </w:pPr>
    <w:r>
      <w:rPr>
        <w:snapToGrid w:val="0"/>
      </w:rPr>
      <w:fldChar w:fldCharType="begin"/>
    </w:r>
    <w:r>
      <w:rPr>
        <w:snapToGrid w:val="0"/>
      </w:rPr>
      <w:instrText xml:space="preserve"> FILENAME  </w:instrText>
    </w:r>
    <w:r>
      <w:rPr>
        <w:snapToGrid w:val="0"/>
      </w:rPr>
      <w:fldChar w:fldCharType="separate"/>
    </w:r>
    <w:r>
      <w:rPr>
        <w:noProof/>
        <w:snapToGrid w:val="0"/>
      </w:rPr>
      <w:t>Financial Policy and Procedures.doc</w:t>
    </w:r>
    <w:r>
      <w:rPr>
        <w:snapToGrid w:val="0"/>
      </w:rPr>
      <w:fldChar w:fldCharType="end"/>
    </w:r>
    <w:r>
      <w:rPr>
        <w:snapToGrid w:val="0"/>
      </w:rPr>
      <w:tab/>
    </w:r>
    <w:r w:rsidR="005F7700">
      <w:fldChar w:fldCharType="begin"/>
    </w:r>
    <w:r w:rsidR="005F7700">
      <w:instrText xml:space="preserve"> DATE \@ "dd/MM/yy" </w:instrText>
    </w:r>
    <w:r w:rsidR="005F7700">
      <w:fldChar w:fldCharType="separate"/>
    </w:r>
    <w:r w:rsidR="00653585">
      <w:rPr>
        <w:noProof/>
      </w:rPr>
      <w:t>21/04/23</w:t>
    </w:r>
    <w:r w:rsidR="005F7700">
      <w:fldChar w:fldCharType="end"/>
    </w:r>
    <w:r w:rsidR="005F7700">
      <w:t xml:space="preserve">  </w:t>
    </w:r>
    <w:r w:rsidR="005F7700">
      <w:fldChar w:fldCharType="begin"/>
    </w:r>
    <w:r w:rsidR="005F7700">
      <w:instrText xml:space="preserve"> TIME \@ "h:mm AM/PM" </w:instrText>
    </w:r>
    <w:r w:rsidR="005F7700">
      <w:fldChar w:fldCharType="separate"/>
    </w:r>
    <w:r w:rsidR="00653585">
      <w:rPr>
        <w:noProof/>
      </w:rPr>
      <w:t>1:24 PM</w:t>
    </w:r>
    <w:r w:rsidR="005F7700">
      <w:fldChar w:fldCharType="end"/>
    </w:r>
    <w:r>
      <w:tab/>
    </w:r>
    <w:r>
      <w:tab/>
    </w:r>
    <w:r>
      <w:tab/>
    </w:r>
    <w:r>
      <w:tab/>
    </w:r>
    <w:r w:rsidR="005F7700">
      <w:tab/>
      <w:t xml:space="preserve">Page </w:t>
    </w:r>
    <w:r w:rsidR="005F7700">
      <w:rPr>
        <w:rStyle w:val="PageNumber"/>
      </w:rPr>
      <w:fldChar w:fldCharType="begin"/>
    </w:r>
    <w:r w:rsidR="005F7700">
      <w:rPr>
        <w:rStyle w:val="PageNumber"/>
      </w:rPr>
      <w:instrText xml:space="preserve"> PAGE </w:instrText>
    </w:r>
    <w:r w:rsidR="005F7700">
      <w:rPr>
        <w:rStyle w:val="PageNumber"/>
      </w:rPr>
      <w:fldChar w:fldCharType="separate"/>
    </w:r>
    <w:r w:rsidR="005F7700">
      <w:rPr>
        <w:rStyle w:val="PageNumber"/>
        <w:noProof/>
      </w:rPr>
      <w:t>1</w:t>
    </w:r>
    <w:r w:rsidR="005F7700">
      <w:rPr>
        <w:rStyle w:val="PageNumber"/>
      </w:rPr>
      <w:fldChar w:fldCharType="end"/>
    </w:r>
    <w:r w:rsidR="005F7700">
      <w:rPr>
        <w:rStyle w:val="PageNumber"/>
      </w:rPr>
      <w:t xml:space="preserve"> of </w:t>
    </w:r>
    <w:r w:rsidR="005F7700">
      <w:rPr>
        <w:rStyle w:val="PageNumber"/>
      </w:rPr>
      <w:fldChar w:fldCharType="begin"/>
    </w:r>
    <w:r w:rsidR="005F7700">
      <w:rPr>
        <w:rStyle w:val="PageNumber"/>
      </w:rPr>
      <w:instrText xml:space="preserve"> = </w:instrText>
    </w:r>
    <w:r w:rsidR="005F7700">
      <w:rPr>
        <w:rStyle w:val="PageNumber"/>
      </w:rPr>
      <w:fldChar w:fldCharType="begin"/>
    </w:r>
    <w:r w:rsidR="005F7700">
      <w:rPr>
        <w:rStyle w:val="PageNumber"/>
      </w:rPr>
      <w:instrText xml:space="preserve"> Numpages</w:instrText>
    </w:r>
    <w:r w:rsidR="005F7700">
      <w:rPr>
        <w:rStyle w:val="PageNumber"/>
      </w:rPr>
      <w:fldChar w:fldCharType="separate"/>
    </w:r>
    <w:r w:rsidR="00653585">
      <w:rPr>
        <w:rStyle w:val="PageNumber"/>
        <w:noProof/>
      </w:rPr>
      <w:instrText>14</w:instrText>
    </w:r>
    <w:r w:rsidR="005F7700">
      <w:rPr>
        <w:rStyle w:val="PageNumber"/>
      </w:rPr>
      <w:fldChar w:fldCharType="end"/>
    </w:r>
    <w:r w:rsidR="005F7700">
      <w:rPr>
        <w:rStyle w:val="PageNumber"/>
      </w:rPr>
      <w:instrText xml:space="preserve"> - 1 </w:instrText>
    </w:r>
    <w:r w:rsidR="005F7700">
      <w:rPr>
        <w:rStyle w:val="PageNumber"/>
      </w:rPr>
      <w:fldChar w:fldCharType="separate"/>
    </w:r>
    <w:r w:rsidR="00653585">
      <w:rPr>
        <w:rStyle w:val="PageNumber"/>
        <w:noProof/>
      </w:rPr>
      <w:t>13</w:t>
    </w:r>
    <w:r w:rsidR="005F77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7852" w14:textId="77777777" w:rsidR="00E624C4" w:rsidRDefault="00E624C4" w:rsidP="00841A03">
      <w:pPr>
        <w:pStyle w:val="Footer"/>
      </w:pPr>
      <w:r>
        <w:separator/>
      </w:r>
    </w:p>
  </w:footnote>
  <w:footnote w:type="continuationSeparator" w:id="0">
    <w:p w14:paraId="5BB27650" w14:textId="77777777" w:rsidR="00E624C4" w:rsidRDefault="00E624C4" w:rsidP="00841A03">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8B11" w14:textId="77777777" w:rsidR="00AC2397" w:rsidRDefault="00AC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159B" w14:textId="77777777" w:rsidR="005F7700" w:rsidRPr="00B74C3F" w:rsidRDefault="005F7700">
    <w:pPr>
      <w:pStyle w:val="Header"/>
      <w:pBdr>
        <w:bottom w:val="single" w:sz="4" w:space="1" w:color="auto"/>
      </w:pBdr>
      <w:rPr>
        <w:b w:val="0"/>
        <w:color w:val="000080"/>
      </w:rPr>
    </w:pPr>
    <w:r w:rsidRPr="00B74C3F">
      <w:rPr>
        <w:b w:val="0"/>
        <w:color w:val="000080"/>
      </w:rPr>
      <w:t>Financial Policy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FB40" w14:textId="77777777" w:rsidR="00AC2397" w:rsidRDefault="00AC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B6A5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859DA"/>
    <w:multiLevelType w:val="multilevel"/>
    <w:tmpl w:val="50EE1A14"/>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2D13D07"/>
    <w:multiLevelType w:val="multilevel"/>
    <w:tmpl w:val="F152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A1B6D"/>
    <w:multiLevelType w:val="multilevel"/>
    <w:tmpl w:val="DBBC7BF6"/>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4638AF"/>
    <w:multiLevelType w:val="singleLevel"/>
    <w:tmpl w:val="A2AE998A"/>
    <w:lvl w:ilvl="0">
      <w:start w:val="1"/>
      <w:numFmt w:val="lowerLetter"/>
      <w:lvlText w:val="%1)"/>
      <w:lvlJc w:val="left"/>
      <w:pPr>
        <w:tabs>
          <w:tab w:val="num" w:pos="1080"/>
        </w:tabs>
        <w:ind w:left="1080" w:hanging="360"/>
      </w:pPr>
      <w:rPr>
        <w:rFonts w:hint="default"/>
      </w:rPr>
    </w:lvl>
  </w:abstractNum>
  <w:abstractNum w:abstractNumId="5" w15:restartNumberingAfterBreak="0">
    <w:nsid w:val="23180A71"/>
    <w:multiLevelType w:val="multilevel"/>
    <w:tmpl w:val="FB0CC1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18332A"/>
    <w:multiLevelType w:val="multilevel"/>
    <w:tmpl w:val="41DA9A4E"/>
    <w:lvl w:ilvl="0">
      <w:start w:val="2"/>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F8C5479"/>
    <w:multiLevelType w:val="singleLevel"/>
    <w:tmpl w:val="FAD0AE12"/>
    <w:lvl w:ilvl="0">
      <w:start w:val="1"/>
      <w:numFmt w:val="upperLetter"/>
      <w:lvlText w:val="%1)"/>
      <w:lvlJc w:val="left"/>
      <w:pPr>
        <w:tabs>
          <w:tab w:val="num" w:pos="1211"/>
        </w:tabs>
        <w:ind w:left="1211" w:hanging="360"/>
      </w:pPr>
      <w:rPr>
        <w:rFonts w:hint="default"/>
      </w:rPr>
    </w:lvl>
  </w:abstractNum>
  <w:abstractNum w:abstractNumId="8" w15:restartNumberingAfterBreak="0">
    <w:nsid w:val="338A72C4"/>
    <w:multiLevelType w:val="singleLevel"/>
    <w:tmpl w:val="5844A342"/>
    <w:lvl w:ilvl="0">
      <w:start w:val="1"/>
      <w:numFmt w:val="lowerLetter"/>
      <w:lvlText w:val="%1)"/>
      <w:lvlJc w:val="left"/>
      <w:pPr>
        <w:tabs>
          <w:tab w:val="num" w:pos="1440"/>
        </w:tabs>
        <w:ind w:left="1440" w:hanging="720"/>
      </w:pPr>
      <w:rPr>
        <w:rFonts w:hint="default"/>
      </w:rPr>
    </w:lvl>
  </w:abstractNum>
  <w:abstractNum w:abstractNumId="9" w15:restartNumberingAfterBreak="0">
    <w:nsid w:val="343D4406"/>
    <w:multiLevelType w:val="multilevel"/>
    <w:tmpl w:val="D90652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613483"/>
    <w:multiLevelType w:val="multilevel"/>
    <w:tmpl w:val="315AB4C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054674"/>
    <w:multiLevelType w:val="hybridMultilevel"/>
    <w:tmpl w:val="FE8868F0"/>
    <w:lvl w:ilvl="0" w:tplc="AAFC0FA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394A7D59"/>
    <w:multiLevelType w:val="multilevel"/>
    <w:tmpl w:val="725A41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3A4E09"/>
    <w:multiLevelType w:val="singleLevel"/>
    <w:tmpl w:val="D3E244F8"/>
    <w:lvl w:ilvl="0">
      <w:start w:val="1"/>
      <w:numFmt w:val="lowerLetter"/>
      <w:lvlText w:val="%1)"/>
      <w:lvlJc w:val="left"/>
      <w:pPr>
        <w:tabs>
          <w:tab w:val="num" w:pos="1440"/>
        </w:tabs>
        <w:ind w:left="1440" w:hanging="720"/>
      </w:pPr>
      <w:rPr>
        <w:rFonts w:hint="default"/>
      </w:rPr>
    </w:lvl>
  </w:abstractNum>
  <w:abstractNum w:abstractNumId="14" w15:restartNumberingAfterBreak="0">
    <w:nsid w:val="417A173F"/>
    <w:multiLevelType w:val="singleLevel"/>
    <w:tmpl w:val="159ED69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2EE77AD"/>
    <w:multiLevelType w:val="multilevel"/>
    <w:tmpl w:val="0AD4A770"/>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A3027F"/>
    <w:multiLevelType w:val="multilevel"/>
    <w:tmpl w:val="D28E23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5E13B8"/>
    <w:multiLevelType w:val="singleLevel"/>
    <w:tmpl w:val="11A2F70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18" w15:restartNumberingAfterBreak="0">
    <w:nsid w:val="4AD059C8"/>
    <w:multiLevelType w:val="singleLevel"/>
    <w:tmpl w:val="55AE896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423D5B"/>
    <w:multiLevelType w:val="singleLevel"/>
    <w:tmpl w:val="3C1C91C8"/>
    <w:lvl w:ilvl="0">
      <w:start w:val="1"/>
      <w:numFmt w:val="lowerLetter"/>
      <w:lvlText w:val="%1)"/>
      <w:lvlJc w:val="left"/>
      <w:pPr>
        <w:tabs>
          <w:tab w:val="num" w:pos="1211"/>
        </w:tabs>
        <w:ind w:left="1211" w:hanging="360"/>
      </w:pPr>
      <w:rPr>
        <w:rFonts w:hint="default"/>
      </w:rPr>
    </w:lvl>
  </w:abstractNum>
  <w:abstractNum w:abstractNumId="20" w15:restartNumberingAfterBreak="0">
    <w:nsid w:val="4D7966A7"/>
    <w:multiLevelType w:val="singleLevel"/>
    <w:tmpl w:val="A33EE8F0"/>
    <w:lvl w:ilvl="0">
      <w:start w:val="1"/>
      <w:numFmt w:val="upperLetter"/>
      <w:lvlText w:val="%1)"/>
      <w:lvlJc w:val="left"/>
      <w:pPr>
        <w:tabs>
          <w:tab w:val="num" w:pos="1440"/>
        </w:tabs>
        <w:ind w:left="1440" w:hanging="720"/>
      </w:pPr>
      <w:rPr>
        <w:rFonts w:hint="default"/>
      </w:rPr>
    </w:lvl>
  </w:abstractNum>
  <w:abstractNum w:abstractNumId="21" w15:restartNumberingAfterBreak="0">
    <w:nsid w:val="4EF974FD"/>
    <w:multiLevelType w:val="singleLevel"/>
    <w:tmpl w:val="AD0EA854"/>
    <w:lvl w:ilvl="0">
      <w:start w:val="1"/>
      <w:numFmt w:val="lowerLetter"/>
      <w:lvlText w:val="%1)"/>
      <w:lvlJc w:val="left"/>
      <w:pPr>
        <w:tabs>
          <w:tab w:val="num" w:pos="1800"/>
        </w:tabs>
        <w:ind w:left="1800" w:hanging="360"/>
      </w:pPr>
      <w:rPr>
        <w:rFonts w:hint="default"/>
      </w:rPr>
    </w:lvl>
  </w:abstractNum>
  <w:abstractNum w:abstractNumId="22" w15:restartNumberingAfterBreak="0">
    <w:nsid w:val="53A640DF"/>
    <w:multiLevelType w:val="singleLevel"/>
    <w:tmpl w:val="F98AD9CE"/>
    <w:lvl w:ilvl="0">
      <w:start w:val="1"/>
      <w:numFmt w:val="decimal"/>
      <w:lvlText w:val="%1."/>
      <w:lvlJc w:val="left"/>
      <w:pPr>
        <w:tabs>
          <w:tab w:val="num" w:pos="360"/>
        </w:tabs>
        <w:ind w:left="360" w:hanging="360"/>
      </w:pPr>
      <w:rPr>
        <w:rFonts w:hint="default"/>
      </w:rPr>
    </w:lvl>
  </w:abstractNum>
  <w:abstractNum w:abstractNumId="23" w15:restartNumberingAfterBreak="0">
    <w:nsid w:val="55A01FCC"/>
    <w:multiLevelType w:val="multilevel"/>
    <w:tmpl w:val="378422F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124995"/>
    <w:multiLevelType w:val="multilevel"/>
    <w:tmpl w:val="22A210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C31071"/>
    <w:multiLevelType w:val="multilevel"/>
    <w:tmpl w:val="F0D0E242"/>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5909D3"/>
    <w:multiLevelType w:val="multilevel"/>
    <w:tmpl w:val="389046E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E26796"/>
    <w:multiLevelType w:val="multilevel"/>
    <w:tmpl w:val="14F8E98E"/>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isLgl/>
      <w:lvlText w:val="%1.%2.%3%4"/>
      <w:lvlJc w:val="left"/>
      <w:pPr>
        <w:tabs>
          <w:tab w:val="num" w:pos="1080"/>
        </w:tabs>
        <w:ind w:left="851" w:hanging="851"/>
      </w:pPr>
      <w:rPr>
        <w:rFonts w:hint="default"/>
      </w:rPr>
    </w:lvl>
    <w:lvl w:ilvl="4">
      <w:start w:val="1"/>
      <w:numFmt w:val="decimal"/>
      <w:isLgl/>
      <w:lvlText w:val="%1.%2%3.%4.%5"/>
      <w:lvlJc w:val="left"/>
      <w:pPr>
        <w:tabs>
          <w:tab w:val="num" w:pos="3141"/>
        </w:tabs>
        <w:ind w:left="851" w:firstLine="85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4752C44"/>
    <w:multiLevelType w:val="singleLevel"/>
    <w:tmpl w:val="B1161DDA"/>
    <w:lvl w:ilvl="0">
      <w:start w:val="1"/>
      <w:numFmt w:val="upperLetter"/>
      <w:lvlText w:val="%1)"/>
      <w:lvlJc w:val="left"/>
      <w:pPr>
        <w:tabs>
          <w:tab w:val="num" w:pos="1211"/>
        </w:tabs>
        <w:ind w:left="1211" w:hanging="360"/>
      </w:pPr>
      <w:rPr>
        <w:rFonts w:hint="default"/>
      </w:rPr>
    </w:lvl>
  </w:abstractNum>
  <w:abstractNum w:abstractNumId="29" w15:restartNumberingAfterBreak="0">
    <w:nsid w:val="652F78C5"/>
    <w:multiLevelType w:val="multilevel"/>
    <w:tmpl w:val="89A04DD0"/>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isLgl/>
      <w:lvlText w:val="%1.%2.%3%4"/>
      <w:lvlJc w:val="left"/>
      <w:pPr>
        <w:tabs>
          <w:tab w:val="num" w:pos="1080"/>
        </w:tabs>
        <w:ind w:left="851" w:hanging="851"/>
      </w:pPr>
      <w:rPr>
        <w:rFonts w:hint="default"/>
      </w:rPr>
    </w:lvl>
    <w:lvl w:ilvl="4">
      <w:start w:val="1"/>
      <w:numFmt w:val="decimal"/>
      <w:isLgl/>
      <w:lvlText w:val="%1.%2%3.%4.%5"/>
      <w:lvlJc w:val="left"/>
      <w:pPr>
        <w:tabs>
          <w:tab w:val="num" w:pos="3141"/>
        </w:tabs>
        <w:ind w:left="851" w:firstLine="85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54D7EC4"/>
    <w:multiLevelType w:val="multilevel"/>
    <w:tmpl w:val="F15CE95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6857E9"/>
    <w:multiLevelType w:val="multilevel"/>
    <w:tmpl w:val="A2E25342"/>
    <w:lvl w:ilvl="0">
      <w:start w:val="1"/>
      <w:numFmt w:val="decimal"/>
      <w:pStyle w:val="Heading1"/>
      <w:lvlText w:val="%1."/>
      <w:lvlJc w:val="left"/>
      <w:pPr>
        <w:tabs>
          <w:tab w:val="num" w:pos="6101"/>
        </w:tabs>
        <w:ind w:left="6101" w:hanging="855"/>
      </w:pPr>
      <w:rPr>
        <w:rFonts w:hint="default"/>
      </w:rPr>
    </w:lvl>
    <w:lvl w:ilvl="1">
      <w:start w:val="1"/>
      <w:numFmt w:val="decimal"/>
      <w:pStyle w:val="Heading2"/>
      <w:isLgl/>
      <w:lvlText w:val="%1.%2"/>
      <w:lvlJc w:val="left"/>
      <w:pPr>
        <w:tabs>
          <w:tab w:val="num" w:pos="1561"/>
        </w:tabs>
        <w:ind w:left="1561" w:hanging="851"/>
      </w:pPr>
      <w:rPr>
        <w:rFonts w:hint="default"/>
      </w:rPr>
    </w:lvl>
    <w:lvl w:ilvl="2">
      <w:start w:val="1"/>
      <w:numFmt w:val="decimal"/>
      <w:pStyle w:val="BodyText"/>
      <w:isLgl/>
      <w:lvlText w:val="%1.%2.%3"/>
      <w:lvlJc w:val="left"/>
      <w:pPr>
        <w:tabs>
          <w:tab w:val="num" w:pos="851"/>
        </w:tabs>
        <w:ind w:left="851" w:hanging="85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A947364"/>
    <w:multiLevelType w:val="singleLevel"/>
    <w:tmpl w:val="246E1BC6"/>
    <w:lvl w:ilvl="0">
      <w:start w:val="1"/>
      <w:numFmt w:val="lowerLetter"/>
      <w:lvlText w:val="%1)"/>
      <w:lvlJc w:val="left"/>
      <w:pPr>
        <w:tabs>
          <w:tab w:val="num" w:pos="1440"/>
        </w:tabs>
        <w:ind w:left="1440" w:hanging="720"/>
      </w:pPr>
      <w:rPr>
        <w:rFonts w:hint="default"/>
      </w:rPr>
    </w:lvl>
  </w:abstractNum>
  <w:abstractNum w:abstractNumId="33" w15:restartNumberingAfterBreak="0">
    <w:nsid w:val="6B7669E6"/>
    <w:multiLevelType w:val="singleLevel"/>
    <w:tmpl w:val="C0341362"/>
    <w:lvl w:ilvl="0">
      <w:start w:val="2"/>
      <w:numFmt w:val="decimal"/>
      <w:lvlText w:val="%1."/>
      <w:lvlJc w:val="left"/>
      <w:pPr>
        <w:tabs>
          <w:tab w:val="num" w:pos="360"/>
        </w:tabs>
        <w:ind w:left="360" w:hanging="360"/>
      </w:pPr>
      <w:rPr>
        <w:rFonts w:hint="default"/>
      </w:rPr>
    </w:lvl>
  </w:abstractNum>
  <w:abstractNum w:abstractNumId="34" w15:restartNumberingAfterBreak="0">
    <w:nsid w:val="6E057B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372C5A"/>
    <w:multiLevelType w:val="singleLevel"/>
    <w:tmpl w:val="84AAFF5C"/>
    <w:lvl w:ilvl="0">
      <w:start w:val="1"/>
      <w:numFmt w:val="lowerLetter"/>
      <w:lvlText w:val="%1)"/>
      <w:lvlJc w:val="left"/>
      <w:pPr>
        <w:tabs>
          <w:tab w:val="num" w:pos="1440"/>
        </w:tabs>
        <w:ind w:left="1440" w:hanging="720"/>
      </w:pPr>
      <w:rPr>
        <w:rFonts w:hint="default"/>
      </w:rPr>
    </w:lvl>
  </w:abstractNum>
  <w:abstractNum w:abstractNumId="36" w15:restartNumberingAfterBreak="0">
    <w:nsid w:val="747032DF"/>
    <w:multiLevelType w:val="singleLevel"/>
    <w:tmpl w:val="9A2E75AA"/>
    <w:lvl w:ilvl="0">
      <w:start w:val="1"/>
      <w:numFmt w:val="upperLetter"/>
      <w:lvlText w:val="%1)"/>
      <w:lvlJc w:val="left"/>
      <w:pPr>
        <w:tabs>
          <w:tab w:val="num" w:pos="1436"/>
        </w:tabs>
        <w:ind w:left="1436" w:hanging="585"/>
      </w:pPr>
      <w:rPr>
        <w:rFonts w:hint="default"/>
      </w:rPr>
    </w:lvl>
  </w:abstractNum>
  <w:abstractNum w:abstractNumId="37" w15:restartNumberingAfterBreak="0">
    <w:nsid w:val="74F409BF"/>
    <w:multiLevelType w:val="multilevel"/>
    <w:tmpl w:val="E4E6D8F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isLgl/>
      <w:lvlText w:val="%1.%2.%3%4"/>
      <w:lvlJc w:val="left"/>
      <w:pPr>
        <w:tabs>
          <w:tab w:val="num" w:pos="1080"/>
        </w:tabs>
        <w:ind w:left="851" w:hanging="851"/>
      </w:pPr>
      <w:rPr>
        <w:rFonts w:hint="default"/>
      </w:rPr>
    </w:lvl>
    <w:lvl w:ilvl="4">
      <w:start w:val="1"/>
      <w:numFmt w:val="decimal"/>
      <w:isLgl/>
      <w:lvlText w:val="%1.%2%3.%4.%5"/>
      <w:lvlJc w:val="left"/>
      <w:pPr>
        <w:tabs>
          <w:tab w:val="num" w:pos="3141"/>
        </w:tabs>
        <w:ind w:left="851" w:firstLine="85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6BC53F4"/>
    <w:multiLevelType w:val="singleLevel"/>
    <w:tmpl w:val="E828F088"/>
    <w:lvl w:ilvl="0">
      <w:start w:val="1"/>
      <w:numFmt w:val="bullet"/>
      <w:pStyle w:val="Bullet1"/>
      <w:lvlText w:val=""/>
      <w:lvlJc w:val="left"/>
      <w:pPr>
        <w:tabs>
          <w:tab w:val="num" w:pos="360"/>
        </w:tabs>
        <w:ind w:left="360" w:hanging="360"/>
      </w:pPr>
      <w:rPr>
        <w:rFonts w:ascii="Wingdings" w:hAnsi="Wingdings" w:hint="default"/>
      </w:rPr>
    </w:lvl>
  </w:abstractNum>
  <w:abstractNum w:abstractNumId="39" w15:restartNumberingAfterBreak="0">
    <w:nsid w:val="775F4D84"/>
    <w:multiLevelType w:val="multilevel"/>
    <w:tmpl w:val="03F05BFE"/>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4B2064"/>
    <w:multiLevelType w:val="multilevel"/>
    <w:tmpl w:val="B760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C2DAA"/>
    <w:multiLevelType w:val="multilevel"/>
    <w:tmpl w:val="351E2D5A"/>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02675209">
    <w:abstractNumId w:val="25"/>
  </w:num>
  <w:num w:numId="2" w16cid:durableId="970400116">
    <w:abstractNumId w:val="14"/>
  </w:num>
  <w:num w:numId="3" w16cid:durableId="652029924">
    <w:abstractNumId w:val="22"/>
  </w:num>
  <w:num w:numId="4" w16cid:durableId="2090077524">
    <w:abstractNumId w:val="12"/>
  </w:num>
  <w:num w:numId="5" w16cid:durableId="9912725">
    <w:abstractNumId w:val="7"/>
  </w:num>
  <w:num w:numId="6" w16cid:durableId="973876068">
    <w:abstractNumId w:val="13"/>
  </w:num>
  <w:num w:numId="7" w16cid:durableId="1248224969">
    <w:abstractNumId w:val="8"/>
  </w:num>
  <w:num w:numId="8" w16cid:durableId="2040204249">
    <w:abstractNumId w:val="33"/>
  </w:num>
  <w:num w:numId="9" w16cid:durableId="1126125011">
    <w:abstractNumId w:val="6"/>
  </w:num>
  <w:num w:numId="10" w16cid:durableId="1720544366">
    <w:abstractNumId w:val="5"/>
  </w:num>
  <w:num w:numId="11" w16cid:durableId="1997760757">
    <w:abstractNumId w:val="39"/>
  </w:num>
  <w:num w:numId="12" w16cid:durableId="1315334214">
    <w:abstractNumId w:val="24"/>
  </w:num>
  <w:num w:numId="13" w16cid:durableId="81536547">
    <w:abstractNumId w:val="9"/>
  </w:num>
  <w:num w:numId="14" w16cid:durableId="999427054">
    <w:abstractNumId w:val="23"/>
  </w:num>
  <w:num w:numId="15" w16cid:durableId="1528520016">
    <w:abstractNumId w:val="16"/>
  </w:num>
  <w:num w:numId="16" w16cid:durableId="563490978">
    <w:abstractNumId w:val="30"/>
  </w:num>
  <w:num w:numId="17" w16cid:durableId="1667778753">
    <w:abstractNumId w:val="26"/>
  </w:num>
  <w:num w:numId="18" w16cid:durableId="1722172652">
    <w:abstractNumId w:val="4"/>
  </w:num>
  <w:num w:numId="19" w16cid:durableId="1488471273">
    <w:abstractNumId w:val="32"/>
  </w:num>
  <w:num w:numId="20" w16cid:durableId="1578053245">
    <w:abstractNumId w:val="1"/>
  </w:num>
  <w:num w:numId="21" w16cid:durableId="854733741">
    <w:abstractNumId w:val="41"/>
  </w:num>
  <w:num w:numId="22" w16cid:durableId="691029381">
    <w:abstractNumId w:val="21"/>
  </w:num>
  <w:num w:numId="23" w16cid:durableId="1094322475">
    <w:abstractNumId w:val="35"/>
  </w:num>
  <w:num w:numId="24" w16cid:durableId="1994140281">
    <w:abstractNumId w:val="15"/>
  </w:num>
  <w:num w:numId="25" w16cid:durableId="820197741">
    <w:abstractNumId w:val="3"/>
  </w:num>
  <w:num w:numId="26" w16cid:durableId="1270697005">
    <w:abstractNumId w:val="31"/>
  </w:num>
  <w:num w:numId="27" w16cid:durableId="637414406">
    <w:abstractNumId w:val="36"/>
  </w:num>
  <w:num w:numId="28" w16cid:durableId="291251927">
    <w:abstractNumId w:val="20"/>
  </w:num>
  <w:num w:numId="29" w16cid:durableId="779958846">
    <w:abstractNumId w:val="28"/>
  </w:num>
  <w:num w:numId="30" w16cid:durableId="650869035">
    <w:abstractNumId w:val="37"/>
  </w:num>
  <w:num w:numId="31" w16cid:durableId="925773334">
    <w:abstractNumId w:val="29"/>
  </w:num>
  <w:num w:numId="32" w16cid:durableId="886337976">
    <w:abstractNumId w:val="19"/>
  </w:num>
  <w:num w:numId="33" w16cid:durableId="1694917264">
    <w:abstractNumId w:val="27"/>
  </w:num>
  <w:num w:numId="34" w16cid:durableId="18970622">
    <w:abstractNumId w:val="34"/>
  </w:num>
  <w:num w:numId="35" w16cid:durableId="406421207">
    <w:abstractNumId w:val="0"/>
  </w:num>
  <w:num w:numId="36" w16cid:durableId="1503355963">
    <w:abstractNumId w:val="18"/>
  </w:num>
  <w:num w:numId="37" w16cid:durableId="120996029">
    <w:abstractNumId w:val="17"/>
  </w:num>
  <w:num w:numId="38" w16cid:durableId="1640305375">
    <w:abstractNumId w:val="38"/>
  </w:num>
  <w:num w:numId="39" w16cid:durableId="431829018">
    <w:abstractNumId w:val="31"/>
  </w:num>
  <w:num w:numId="40" w16cid:durableId="738508">
    <w:abstractNumId w:val="10"/>
  </w:num>
  <w:num w:numId="41" w16cid:durableId="34619815">
    <w:abstractNumId w:val="2"/>
  </w:num>
  <w:num w:numId="42" w16cid:durableId="1648822309">
    <w:abstractNumId w:val="40"/>
  </w:num>
  <w:num w:numId="43" w16cid:durableId="541870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A03"/>
    <w:rsid w:val="00027A34"/>
    <w:rsid w:val="00096D4A"/>
    <w:rsid w:val="000D126A"/>
    <w:rsid w:val="000E10BF"/>
    <w:rsid w:val="000E32C8"/>
    <w:rsid w:val="000F7A38"/>
    <w:rsid w:val="00103516"/>
    <w:rsid w:val="00126683"/>
    <w:rsid w:val="00132656"/>
    <w:rsid w:val="00176312"/>
    <w:rsid w:val="001A2F0E"/>
    <w:rsid w:val="001D53F1"/>
    <w:rsid w:val="001F1A7F"/>
    <w:rsid w:val="001F3D2C"/>
    <w:rsid w:val="0021370B"/>
    <w:rsid w:val="002153CD"/>
    <w:rsid w:val="002607EF"/>
    <w:rsid w:val="00262A5E"/>
    <w:rsid w:val="002757A0"/>
    <w:rsid w:val="002C083B"/>
    <w:rsid w:val="002D40FE"/>
    <w:rsid w:val="002E1FEF"/>
    <w:rsid w:val="002F5216"/>
    <w:rsid w:val="002F6F4F"/>
    <w:rsid w:val="002F70A2"/>
    <w:rsid w:val="002F70EF"/>
    <w:rsid w:val="00300218"/>
    <w:rsid w:val="00305380"/>
    <w:rsid w:val="00313491"/>
    <w:rsid w:val="003308AA"/>
    <w:rsid w:val="00331366"/>
    <w:rsid w:val="003447BF"/>
    <w:rsid w:val="00351C70"/>
    <w:rsid w:val="00351D5C"/>
    <w:rsid w:val="00352CE0"/>
    <w:rsid w:val="003625F8"/>
    <w:rsid w:val="00372159"/>
    <w:rsid w:val="00386268"/>
    <w:rsid w:val="003A7922"/>
    <w:rsid w:val="003D4EF5"/>
    <w:rsid w:val="003D73EF"/>
    <w:rsid w:val="00437B24"/>
    <w:rsid w:val="00445F7A"/>
    <w:rsid w:val="0045534C"/>
    <w:rsid w:val="00460538"/>
    <w:rsid w:val="004800F6"/>
    <w:rsid w:val="00484586"/>
    <w:rsid w:val="004D3C3E"/>
    <w:rsid w:val="004D3C4C"/>
    <w:rsid w:val="004D6178"/>
    <w:rsid w:val="005066C7"/>
    <w:rsid w:val="00543783"/>
    <w:rsid w:val="00561B08"/>
    <w:rsid w:val="00593CE8"/>
    <w:rsid w:val="005A7D43"/>
    <w:rsid w:val="005B5BEF"/>
    <w:rsid w:val="005D6E0D"/>
    <w:rsid w:val="005F2A41"/>
    <w:rsid w:val="005F7700"/>
    <w:rsid w:val="00621CBE"/>
    <w:rsid w:val="00631CF6"/>
    <w:rsid w:val="00653585"/>
    <w:rsid w:val="006904B6"/>
    <w:rsid w:val="00694BE9"/>
    <w:rsid w:val="006A6532"/>
    <w:rsid w:val="006B49A3"/>
    <w:rsid w:val="006E1C7B"/>
    <w:rsid w:val="006F372D"/>
    <w:rsid w:val="007543D2"/>
    <w:rsid w:val="0075536D"/>
    <w:rsid w:val="0077222B"/>
    <w:rsid w:val="0077424B"/>
    <w:rsid w:val="00791C80"/>
    <w:rsid w:val="007F5C80"/>
    <w:rsid w:val="00801CA1"/>
    <w:rsid w:val="00841A03"/>
    <w:rsid w:val="00865C33"/>
    <w:rsid w:val="00877CE7"/>
    <w:rsid w:val="008B431B"/>
    <w:rsid w:val="008B60CD"/>
    <w:rsid w:val="008C5101"/>
    <w:rsid w:val="008C63A9"/>
    <w:rsid w:val="008F2BE5"/>
    <w:rsid w:val="00900525"/>
    <w:rsid w:val="00912E38"/>
    <w:rsid w:val="00940EF4"/>
    <w:rsid w:val="00943F47"/>
    <w:rsid w:val="00967865"/>
    <w:rsid w:val="00970CF2"/>
    <w:rsid w:val="00990F58"/>
    <w:rsid w:val="00993EDE"/>
    <w:rsid w:val="009A76F8"/>
    <w:rsid w:val="009B05C0"/>
    <w:rsid w:val="009E2B91"/>
    <w:rsid w:val="009E4135"/>
    <w:rsid w:val="009F247B"/>
    <w:rsid w:val="009F6A4D"/>
    <w:rsid w:val="00A00454"/>
    <w:rsid w:val="00A00766"/>
    <w:rsid w:val="00A501FD"/>
    <w:rsid w:val="00A80D70"/>
    <w:rsid w:val="00A96806"/>
    <w:rsid w:val="00AB42E0"/>
    <w:rsid w:val="00AC2397"/>
    <w:rsid w:val="00AC4346"/>
    <w:rsid w:val="00AC72E5"/>
    <w:rsid w:val="00AE43C0"/>
    <w:rsid w:val="00AE6CD4"/>
    <w:rsid w:val="00B00541"/>
    <w:rsid w:val="00B15C86"/>
    <w:rsid w:val="00B42FDF"/>
    <w:rsid w:val="00B705FD"/>
    <w:rsid w:val="00B72EC5"/>
    <w:rsid w:val="00B74C3F"/>
    <w:rsid w:val="00BC61F8"/>
    <w:rsid w:val="00BE66FB"/>
    <w:rsid w:val="00C37FB0"/>
    <w:rsid w:val="00C44A09"/>
    <w:rsid w:val="00C66FB7"/>
    <w:rsid w:val="00CB359B"/>
    <w:rsid w:val="00CD122A"/>
    <w:rsid w:val="00CE47DE"/>
    <w:rsid w:val="00CE49E4"/>
    <w:rsid w:val="00D062B6"/>
    <w:rsid w:val="00D0769D"/>
    <w:rsid w:val="00D21D1B"/>
    <w:rsid w:val="00D23AF8"/>
    <w:rsid w:val="00D63153"/>
    <w:rsid w:val="00DA5243"/>
    <w:rsid w:val="00DA5FC1"/>
    <w:rsid w:val="00DB241E"/>
    <w:rsid w:val="00DB5AFA"/>
    <w:rsid w:val="00DC20A4"/>
    <w:rsid w:val="00DD399D"/>
    <w:rsid w:val="00DF56BA"/>
    <w:rsid w:val="00E10FE7"/>
    <w:rsid w:val="00E15127"/>
    <w:rsid w:val="00E25583"/>
    <w:rsid w:val="00E34704"/>
    <w:rsid w:val="00E37C7D"/>
    <w:rsid w:val="00E56630"/>
    <w:rsid w:val="00E610B0"/>
    <w:rsid w:val="00E61C21"/>
    <w:rsid w:val="00E624C4"/>
    <w:rsid w:val="00E651C1"/>
    <w:rsid w:val="00E70E07"/>
    <w:rsid w:val="00E74352"/>
    <w:rsid w:val="00E82598"/>
    <w:rsid w:val="00E92B4E"/>
    <w:rsid w:val="00EB2742"/>
    <w:rsid w:val="00EB65F5"/>
    <w:rsid w:val="00ED27A5"/>
    <w:rsid w:val="00EF518C"/>
    <w:rsid w:val="00F21A17"/>
    <w:rsid w:val="00F51684"/>
    <w:rsid w:val="00F839F9"/>
    <w:rsid w:val="00FB3644"/>
    <w:rsid w:val="00FC73E1"/>
    <w:rsid w:val="00FE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2FB18"/>
  <w15:chartTrackingRefBased/>
  <w15:docId w15:val="{82561051-404C-430C-972F-8217DF88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pPr>
      <w:keepLines/>
      <w:spacing w:after="120"/>
      <w:jc w:val="both"/>
    </w:pPr>
    <w:rPr>
      <w:rFonts w:ascii="Arial" w:hAnsi="Arial"/>
      <w:sz w:val="22"/>
      <w:lang w:val="en-US" w:eastAsia="en-US"/>
    </w:rPr>
  </w:style>
  <w:style w:type="paragraph" w:styleId="Heading1">
    <w:name w:val="heading 1"/>
    <w:basedOn w:val="Normal"/>
    <w:next w:val="Normal"/>
    <w:autoRedefine/>
    <w:qFormat/>
    <w:rsid w:val="00E10FE7"/>
    <w:pPr>
      <w:keepNext/>
      <w:numPr>
        <w:numId w:val="26"/>
      </w:numPr>
      <w:tabs>
        <w:tab w:val="clear" w:pos="6101"/>
      </w:tabs>
      <w:spacing w:before="240"/>
      <w:ind w:left="709" w:hanging="709"/>
      <w:jc w:val="left"/>
      <w:outlineLvl w:val="0"/>
    </w:pPr>
    <w:rPr>
      <w:rFonts w:ascii="Arial Bold" w:hAnsi="Arial Bold"/>
      <w:b/>
      <w:caps/>
      <w:color w:val="000080"/>
      <w:kern w:val="28"/>
      <w:sz w:val="32"/>
      <w:u w:val="single"/>
    </w:rPr>
  </w:style>
  <w:style w:type="paragraph" w:styleId="Heading2">
    <w:name w:val="heading 2"/>
    <w:basedOn w:val="Normal"/>
    <w:next w:val="Normal"/>
    <w:autoRedefine/>
    <w:qFormat/>
    <w:rsid w:val="004D6178"/>
    <w:pPr>
      <w:keepNext/>
      <w:numPr>
        <w:ilvl w:val="1"/>
        <w:numId w:val="26"/>
      </w:numPr>
      <w:tabs>
        <w:tab w:val="clear" w:pos="1561"/>
        <w:tab w:val="num" w:pos="709"/>
      </w:tabs>
      <w:spacing w:after="210" w:line="390" w:lineRule="atLeast"/>
      <w:ind w:left="851"/>
      <w:jc w:val="left"/>
      <w:outlineLvl w:val="1"/>
    </w:pPr>
    <w:rPr>
      <w:rFonts w:ascii="Arial Bold" w:hAnsi="Arial Bold"/>
      <w:b/>
      <w:smallCaps/>
      <w:color w:val="000080"/>
      <w:sz w:val="28"/>
    </w:rPr>
  </w:style>
  <w:style w:type="paragraph" w:styleId="Heading3">
    <w:name w:val="heading 3"/>
    <w:basedOn w:val="Normal"/>
    <w:next w:val="Normal"/>
    <w:qFormat/>
    <w:pPr>
      <w:keepNext/>
      <w:outlineLvl w:val="2"/>
    </w:pPr>
    <w:rPr>
      <w:rFonts w:ascii="Arial Bold" w:hAnsi="Arial Bold"/>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51"/>
      </w:tabs>
      <w:spacing w:after="0"/>
      <w:jc w:val="right"/>
    </w:pPr>
    <w:rPr>
      <w:rFonts w:ascii="Arial Bold" w:hAnsi="Arial Bold"/>
      <w:b/>
      <w:sz w:val="32"/>
    </w:rPr>
  </w:style>
  <w:style w:type="paragraph" w:styleId="Footer">
    <w:name w:val="footer"/>
    <w:basedOn w:val="Normal"/>
    <w:pPr>
      <w:tabs>
        <w:tab w:val="right" w:pos="851"/>
      </w:tabs>
    </w:pPr>
    <w:rPr>
      <w:sz w:val="16"/>
    </w:rPr>
  </w:style>
  <w:style w:type="character" w:styleId="PageNumber">
    <w:name w:val="page number"/>
    <w:basedOn w:val="DefaultParagraphFont"/>
  </w:style>
  <w:style w:type="paragraph" w:styleId="BodyTextIndent">
    <w:name w:val="Body Text Indent"/>
    <w:basedOn w:val="Normal"/>
  </w:style>
  <w:style w:type="paragraph" w:styleId="BodyTextIndent2">
    <w:name w:val="Body Text Indent 2"/>
    <w:basedOn w:val="Normal"/>
    <w:pPr>
      <w:tabs>
        <w:tab w:val="num" w:pos="855"/>
      </w:tabs>
      <w:ind w:left="855" w:hanging="855"/>
    </w:pPr>
  </w:style>
  <w:style w:type="paragraph" w:styleId="BlockText">
    <w:name w:val="Block Text"/>
    <w:basedOn w:val="Normal"/>
    <w:pPr>
      <w:jc w:val="center"/>
    </w:pPr>
    <w:rPr>
      <w:rFonts w:ascii="Arial Bold" w:hAnsi="Arial Bold"/>
      <w:b/>
    </w:rPr>
  </w:style>
  <w:style w:type="paragraph" w:styleId="BodyText">
    <w:name w:val="Body Text"/>
    <w:basedOn w:val="Normal"/>
    <w:link w:val="BodyTextChar"/>
    <w:pPr>
      <w:numPr>
        <w:ilvl w:val="2"/>
        <w:numId w:val="26"/>
      </w:numPr>
    </w:pPr>
  </w:style>
  <w:style w:type="paragraph" w:styleId="BodyText2">
    <w:name w:val="Body Text 2"/>
    <w:basedOn w:val="Normal"/>
    <w:pPr>
      <w:spacing w:after="60"/>
      <w:ind w:left="851"/>
    </w:pPr>
  </w:style>
  <w:style w:type="paragraph" w:styleId="BodyText3">
    <w:name w:val="Body Text 3"/>
    <w:basedOn w:val="Normal"/>
    <w:rPr>
      <w:sz w:val="16"/>
    </w:rPr>
  </w:style>
  <w:style w:type="character" w:styleId="Hyperlink">
    <w:name w:val="Hyperlink"/>
    <w:rPr>
      <w:color w:val="0000FF"/>
      <w:u w:val="single"/>
    </w:rPr>
  </w:style>
  <w:style w:type="paragraph" w:styleId="TOC2">
    <w:name w:val="toc 2"/>
    <w:basedOn w:val="Normal"/>
    <w:next w:val="Normal"/>
    <w:autoRedefine/>
    <w:uiPriority w:val="39"/>
    <w:rsid w:val="006E1C7B"/>
    <w:pPr>
      <w:tabs>
        <w:tab w:val="left" w:pos="1134"/>
        <w:tab w:val="right" w:leader="dot" w:pos="9639"/>
      </w:tabs>
      <w:ind w:left="567"/>
    </w:pPr>
    <w:rPr>
      <w:sz w:val="20"/>
    </w:rPr>
  </w:style>
  <w:style w:type="paragraph" w:styleId="TOC1">
    <w:name w:val="toc 1"/>
    <w:basedOn w:val="Normal"/>
    <w:next w:val="Normal"/>
    <w:autoRedefine/>
    <w:uiPriority w:val="39"/>
    <w:rsid w:val="006E1C7B"/>
    <w:pPr>
      <w:tabs>
        <w:tab w:val="left" w:pos="567"/>
        <w:tab w:val="right" w:leader="dot" w:pos="9639"/>
      </w:tabs>
    </w:pPr>
    <w:rPr>
      <w:rFonts w:ascii="Arial Bold" w:hAnsi="Arial Bold"/>
      <w:b/>
      <w:caps/>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ableText">
    <w:name w:val="Table Text"/>
    <w:basedOn w:val="BodyText"/>
    <w:pPr>
      <w:keepLines w:val="0"/>
      <w:numPr>
        <w:ilvl w:val="0"/>
        <w:numId w:val="0"/>
      </w:numPr>
      <w:spacing w:before="100" w:after="100" w:line="200" w:lineRule="atLeast"/>
      <w:jc w:val="left"/>
    </w:pPr>
    <w:rPr>
      <w:sz w:val="16"/>
      <w:lang w:val="en-AU"/>
    </w:rPr>
  </w:style>
  <w:style w:type="character" w:styleId="FollowedHyperlink">
    <w:name w:val="FollowedHyperlink"/>
    <w:rPr>
      <w:color w:val="800080"/>
      <w:u w:val="single"/>
    </w:rPr>
  </w:style>
  <w:style w:type="paragraph" w:styleId="ListBullet">
    <w:name w:val="List Bullet"/>
    <w:basedOn w:val="Normal"/>
    <w:autoRedefine/>
    <w:pPr>
      <w:numPr>
        <w:numId w:val="37"/>
      </w:numPr>
    </w:pPr>
  </w:style>
  <w:style w:type="paragraph" w:customStyle="1" w:styleId="Bullet1">
    <w:name w:val="Bullet 1"/>
    <w:basedOn w:val="Normal"/>
    <w:autoRedefine/>
    <w:pPr>
      <w:numPr>
        <w:numId w:val="38"/>
      </w:numPr>
      <w:tabs>
        <w:tab w:val="clear" w:pos="360"/>
        <w:tab w:val="num" w:pos="1080"/>
      </w:tabs>
      <w:ind w:left="1080"/>
    </w:pPr>
  </w:style>
  <w:style w:type="character" w:customStyle="1" w:styleId="BodyTextChar">
    <w:name w:val="Body Text Char"/>
    <w:link w:val="BodyText"/>
    <w:rsid w:val="00A80D70"/>
    <w:rPr>
      <w:rFonts w:ascii="Arial" w:hAnsi="Arial"/>
      <w:sz w:val="22"/>
      <w:lang w:val="en-US" w:eastAsia="en-US"/>
    </w:rPr>
  </w:style>
  <w:style w:type="paragraph" w:styleId="DocumentMap">
    <w:name w:val="Document Map"/>
    <w:basedOn w:val="Normal"/>
    <w:semiHidden/>
    <w:rsid w:val="003447BF"/>
    <w:pPr>
      <w:shd w:val="clear" w:color="auto" w:fill="000080"/>
    </w:pPr>
    <w:rPr>
      <w:rFonts w:ascii="Tahoma" w:hAnsi="Tahoma" w:cs="Tahoma"/>
      <w:sz w:val="20"/>
    </w:rPr>
  </w:style>
  <w:style w:type="paragraph" w:styleId="BalloonText">
    <w:name w:val="Balloon Text"/>
    <w:basedOn w:val="Normal"/>
    <w:semiHidden/>
    <w:rsid w:val="00D0769D"/>
    <w:rPr>
      <w:rFonts w:ascii="Tahoma" w:hAnsi="Tahoma" w:cs="Tahoma"/>
      <w:sz w:val="16"/>
      <w:szCs w:val="16"/>
    </w:rPr>
  </w:style>
  <w:style w:type="table" w:styleId="TableGrid">
    <w:name w:val="Table Grid"/>
    <w:basedOn w:val="TableNormal"/>
    <w:rsid w:val="004D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178"/>
    <w:pPr>
      <w:keepLines w:val="0"/>
      <w:spacing w:before="100" w:beforeAutospacing="1" w:after="100" w:afterAutospacing="1"/>
      <w:jc w:val="left"/>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7793">
      <w:bodyDiv w:val="1"/>
      <w:marLeft w:val="0"/>
      <w:marRight w:val="0"/>
      <w:marTop w:val="0"/>
      <w:marBottom w:val="0"/>
      <w:divBdr>
        <w:top w:val="none" w:sz="0" w:space="0" w:color="auto"/>
        <w:left w:val="none" w:sz="0" w:space="0" w:color="auto"/>
        <w:bottom w:val="none" w:sz="0" w:space="0" w:color="auto"/>
        <w:right w:val="none" w:sz="0" w:space="0" w:color="auto"/>
      </w:divBdr>
    </w:div>
    <w:div w:id="471991067">
      <w:bodyDiv w:val="1"/>
      <w:marLeft w:val="0"/>
      <w:marRight w:val="0"/>
      <w:marTop w:val="0"/>
      <w:marBottom w:val="0"/>
      <w:divBdr>
        <w:top w:val="none" w:sz="0" w:space="0" w:color="auto"/>
        <w:left w:val="none" w:sz="0" w:space="0" w:color="auto"/>
        <w:bottom w:val="none" w:sz="0" w:space="0" w:color="auto"/>
        <w:right w:val="none" w:sz="0" w:space="0" w:color="auto"/>
      </w:divBdr>
    </w:div>
    <w:div w:id="848759496">
      <w:bodyDiv w:val="1"/>
      <w:marLeft w:val="0"/>
      <w:marRight w:val="0"/>
      <w:marTop w:val="0"/>
      <w:marBottom w:val="0"/>
      <w:divBdr>
        <w:top w:val="none" w:sz="0" w:space="0" w:color="auto"/>
        <w:left w:val="none" w:sz="0" w:space="0" w:color="auto"/>
        <w:bottom w:val="none" w:sz="0" w:space="0" w:color="auto"/>
        <w:right w:val="none" w:sz="0" w:space="0" w:color="auto"/>
      </w:divBdr>
    </w:div>
    <w:div w:id="15939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smlm.com/msm-mission-control/asic-fs70/" TargetMode="External"/><Relationship Id="rId26" Type="http://schemas.openxmlformats.org/officeDocument/2006/relationships/hyperlink" Target="http://www.msmlm.com/msm-mission-control/cheque-requisition-form/" TargetMode="External"/><Relationship Id="rId39" Type="http://schemas.openxmlformats.org/officeDocument/2006/relationships/hyperlink" Target="https://www.ato.gov.au/Business/International-tax-for-business/In-detail/Australian-income-of-foreign-residents/Insurance-with-foreign-resident-insurers/" TargetMode="External"/><Relationship Id="rId3" Type="http://schemas.openxmlformats.org/officeDocument/2006/relationships/styles" Target="styles.xml"/><Relationship Id="rId21" Type="http://schemas.openxmlformats.org/officeDocument/2006/relationships/hyperlink" Target="http://www.msmlm.com/msm-mission-control/loan-commitment-for-rg166/" TargetMode="External"/><Relationship Id="rId34" Type="http://schemas.openxmlformats.org/officeDocument/2006/relationships/hyperlink" Target="http://www.finance.wa.gov.au/cms/content.aspx?id=648&amp;linkidentifier=id&amp;itemid=648" TargetMode="External"/><Relationship Id="rId42" Type="http://schemas.openxmlformats.org/officeDocument/2006/relationships/hyperlink" Target="https://www.msmlm.com/msm-mission-control/financial-hardship-application-for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smlm.com/msm-mission-control/audit-letter-of-engagement-template/" TargetMode="External"/><Relationship Id="rId25" Type="http://schemas.openxmlformats.org/officeDocument/2006/relationships/hyperlink" Target="http://www.msmlm.com/msm-mission-control/outsourcing-policy-and-procedures/" TargetMode="External"/><Relationship Id="rId33" Type="http://schemas.openxmlformats.org/officeDocument/2006/relationships/hyperlink" Target="https://www.revenuesa.sa.gov.au/taxes-and-duties/stamp-duties/insurance" TargetMode="External"/><Relationship Id="rId38" Type="http://schemas.openxmlformats.org/officeDocument/2006/relationships/hyperlink" Target="http://www.treasury.nt.gov.au/TaxesRoyaltiesAndGrants/StampDuty/Pages/default.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mlm.com/msm-mission-control/rg166-compliance-worksheet/" TargetMode="External"/><Relationship Id="rId20" Type="http://schemas.openxmlformats.org/officeDocument/2006/relationships/hyperlink" Target="http://www.msmlm.com/msm-mission-control/risk-management-policy-and-procedures/" TargetMode="External"/><Relationship Id="rId29" Type="http://schemas.openxmlformats.org/officeDocument/2006/relationships/hyperlink" Target="http://www.msmlm.com/msm-mission-control/credit-card-payment-surcharges-overview/" TargetMode="External"/><Relationship Id="rId41" Type="http://schemas.openxmlformats.org/officeDocument/2006/relationships/hyperlink" Target="https://www.msmlm.com/msm-mission-control/financial-hardship-poli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smlm.com/msm-mission-control/rg26-resignation-removal-and-replacement-of-auditors/" TargetMode="External"/><Relationship Id="rId32" Type="http://schemas.openxmlformats.org/officeDocument/2006/relationships/hyperlink" Target="http://www.revenue.nsw.gov.au/taxes/insurance" TargetMode="External"/><Relationship Id="rId37" Type="http://schemas.openxmlformats.org/officeDocument/2006/relationships/hyperlink" Target="http://www.revenue.act.gov.au/" TargetMode="External"/><Relationship Id="rId40" Type="http://schemas.openxmlformats.org/officeDocument/2006/relationships/hyperlink" Target="http://www.revenue.act.gov.a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mlm.com/msm-mission-control/payment-card-industry-data-security-standard-pci-dss/" TargetMode="External"/><Relationship Id="rId23" Type="http://schemas.openxmlformats.org/officeDocument/2006/relationships/hyperlink" Target="http://www.msmlm.com/msm-mission-control/audit-and-review-requirements-for-AFS-Licensees---gs003/" TargetMode="External"/><Relationship Id="rId28" Type="http://schemas.openxmlformats.org/officeDocument/2006/relationships/hyperlink" Target="http://www.msmlm.com/msm-mission-control/asic-fs71/" TargetMode="External"/><Relationship Id="rId36" Type="http://schemas.openxmlformats.org/officeDocument/2006/relationships/hyperlink" Target="http://www.sro.tas.gov.au/motor-vehicle-and-insurance-duty/insurance-duty" TargetMode="External"/><Relationship Id="rId10" Type="http://schemas.openxmlformats.org/officeDocument/2006/relationships/footer" Target="footer1.xml"/><Relationship Id="rId19" Type="http://schemas.openxmlformats.org/officeDocument/2006/relationships/hyperlink" Target="http://www.msmlm.com/msm-mission-control/asic-fs71/" TargetMode="External"/><Relationship Id="rId31" Type="http://schemas.openxmlformats.org/officeDocument/2006/relationships/hyperlink" Target="http://www.revenue.nsw.gov.au/taxes/insurance/factsheet/overview"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smlm.com/msm-mission-control/rg166-financial-requirements/" TargetMode="External"/><Relationship Id="rId22" Type="http://schemas.openxmlformats.org/officeDocument/2006/relationships/hyperlink" Target="http://www.msmlm.com/msm-mission-control/audit-letter-of-engagement-template/" TargetMode="External"/><Relationship Id="rId27" Type="http://schemas.openxmlformats.org/officeDocument/2006/relationships/hyperlink" Target="http://www.msmlm.com/msm-mission-control/asic-fs70/" TargetMode="External"/><Relationship Id="rId30" Type="http://schemas.openxmlformats.org/officeDocument/2006/relationships/hyperlink" Target="http://www.msmlm.com/msm-mission-control/payment-card-industry-data-security-standard-pci-dss/" TargetMode="External"/><Relationship Id="rId35" Type="http://schemas.openxmlformats.org/officeDocument/2006/relationships/hyperlink" Target="https://www.business.qld.gov.au/industries/service-industries-professionals/professional-financial-services/insurance-duty" TargetMode="External"/><Relationship Id="rId43" Type="http://schemas.openxmlformats.org/officeDocument/2006/relationships/hyperlink" Target="https://www.moneysma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BE48-1FC9-47F9-A3C0-5740FAB2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14</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Financial Policy and Procedures</vt:lpstr>
    </vt:vector>
  </TitlesOfParts>
  <Company>MSM Compliance Services P/L</Company>
  <LinksUpToDate>false</LinksUpToDate>
  <CharactersWithSpaces>32487</CharactersWithSpaces>
  <SharedDoc>false</SharedDoc>
  <HLinks>
    <vt:vector size="168" baseType="variant">
      <vt:variant>
        <vt:i4>8060991</vt:i4>
      </vt:variant>
      <vt:variant>
        <vt:i4>177</vt:i4>
      </vt:variant>
      <vt:variant>
        <vt:i4>0</vt:i4>
      </vt:variant>
      <vt:variant>
        <vt:i4>5</vt:i4>
      </vt:variant>
      <vt:variant>
        <vt:lpwstr>https://www.moneysmart.gov.au/</vt:lpwstr>
      </vt:variant>
      <vt:variant>
        <vt:lpwstr/>
      </vt:variant>
      <vt:variant>
        <vt:i4>7209074</vt:i4>
      </vt:variant>
      <vt:variant>
        <vt:i4>174</vt:i4>
      </vt:variant>
      <vt:variant>
        <vt:i4>0</vt:i4>
      </vt:variant>
      <vt:variant>
        <vt:i4>5</vt:i4>
      </vt:variant>
      <vt:variant>
        <vt:lpwstr>http://www.revenue.act.gov.au/</vt:lpwstr>
      </vt:variant>
      <vt:variant>
        <vt:lpwstr/>
      </vt:variant>
      <vt:variant>
        <vt:i4>393303</vt:i4>
      </vt:variant>
      <vt:variant>
        <vt:i4>171</vt:i4>
      </vt:variant>
      <vt:variant>
        <vt:i4>0</vt:i4>
      </vt:variant>
      <vt:variant>
        <vt:i4>5</vt:i4>
      </vt:variant>
      <vt:variant>
        <vt:lpwstr>https://www.ato.gov.au/Business/International-tax-for-business/In-detail/Australian-income-of-foreign-residents/Insurance-with-foreign-resident-insurers/</vt:lpwstr>
      </vt:variant>
      <vt:variant>
        <vt:lpwstr/>
      </vt:variant>
      <vt:variant>
        <vt:i4>3407913</vt:i4>
      </vt:variant>
      <vt:variant>
        <vt:i4>168</vt:i4>
      </vt:variant>
      <vt:variant>
        <vt:i4>0</vt:i4>
      </vt:variant>
      <vt:variant>
        <vt:i4>5</vt:i4>
      </vt:variant>
      <vt:variant>
        <vt:lpwstr>http://www.treasury.nt.gov.au/TaxesRoyaltiesAndGrants/StampDuty/Pages/default.aspx</vt:lpwstr>
      </vt:variant>
      <vt:variant>
        <vt:lpwstr/>
      </vt:variant>
      <vt:variant>
        <vt:i4>7209074</vt:i4>
      </vt:variant>
      <vt:variant>
        <vt:i4>165</vt:i4>
      </vt:variant>
      <vt:variant>
        <vt:i4>0</vt:i4>
      </vt:variant>
      <vt:variant>
        <vt:i4>5</vt:i4>
      </vt:variant>
      <vt:variant>
        <vt:lpwstr>http://www.revenue.act.gov.au/</vt:lpwstr>
      </vt:variant>
      <vt:variant>
        <vt:lpwstr/>
      </vt:variant>
      <vt:variant>
        <vt:i4>458780</vt:i4>
      </vt:variant>
      <vt:variant>
        <vt:i4>162</vt:i4>
      </vt:variant>
      <vt:variant>
        <vt:i4>0</vt:i4>
      </vt:variant>
      <vt:variant>
        <vt:i4>5</vt:i4>
      </vt:variant>
      <vt:variant>
        <vt:lpwstr>http://www.sro.tas.gov.au/motor-vehicle-and-insurance-duty/insurance-duty</vt:lpwstr>
      </vt:variant>
      <vt:variant>
        <vt:lpwstr/>
      </vt:variant>
      <vt:variant>
        <vt:i4>6422643</vt:i4>
      </vt:variant>
      <vt:variant>
        <vt:i4>159</vt:i4>
      </vt:variant>
      <vt:variant>
        <vt:i4>0</vt:i4>
      </vt:variant>
      <vt:variant>
        <vt:i4>5</vt:i4>
      </vt:variant>
      <vt:variant>
        <vt:lpwstr>https://www.business.qld.gov.au/industries/service-industries-professionals/professional-financial-services/insurance-duty</vt:lpwstr>
      </vt:variant>
      <vt:variant>
        <vt:lpwstr/>
      </vt:variant>
      <vt:variant>
        <vt:i4>4259841</vt:i4>
      </vt:variant>
      <vt:variant>
        <vt:i4>156</vt:i4>
      </vt:variant>
      <vt:variant>
        <vt:i4>0</vt:i4>
      </vt:variant>
      <vt:variant>
        <vt:i4>5</vt:i4>
      </vt:variant>
      <vt:variant>
        <vt:lpwstr>http://www.finance.wa.gov.au/cms/content.aspx?id=648&amp;linkidentifier=id&amp;itemid=648</vt:lpwstr>
      </vt:variant>
      <vt:variant>
        <vt:lpwstr/>
      </vt:variant>
      <vt:variant>
        <vt:i4>7995450</vt:i4>
      </vt:variant>
      <vt:variant>
        <vt:i4>153</vt:i4>
      </vt:variant>
      <vt:variant>
        <vt:i4>0</vt:i4>
      </vt:variant>
      <vt:variant>
        <vt:i4>5</vt:i4>
      </vt:variant>
      <vt:variant>
        <vt:lpwstr>https://www.revenuesa.sa.gov.au/taxes-and-duties/stamp-duties/insurance</vt:lpwstr>
      </vt:variant>
      <vt:variant>
        <vt:lpwstr/>
      </vt:variant>
      <vt:variant>
        <vt:i4>5242907</vt:i4>
      </vt:variant>
      <vt:variant>
        <vt:i4>150</vt:i4>
      </vt:variant>
      <vt:variant>
        <vt:i4>0</vt:i4>
      </vt:variant>
      <vt:variant>
        <vt:i4>5</vt:i4>
      </vt:variant>
      <vt:variant>
        <vt:lpwstr>http://www.revenue.nsw.gov.au/taxes/insurance</vt:lpwstr>
      </vt:variant>
      <vt:variant>
        <vt:lpwstr/>
      </vt:variant>
      <vt:variant>
        <vt:i4>5373952</vt:i4>
      </vt:variant>
      <vt:variant>
        <vt:i4>147</vt:i4>
      </vt:variant>
      <vt:variant>
        <vt:i4>0</vt:i4>
      </vt:variant>
      <vt:variant>
        <vt:i4>5</vt:i4>
      </vt:variant>
      <vt:variant>
        <vt:lpwstr>http://www.revenue.nsw.gov.au/taxes/insurance/factsheet/overview</vt:lpwstr>
      </vt:variant>
      <vt:variant>
        <vt:lpwstr/>
      </vt:variant>
      <vt:variant>
        <vt:i4>7733309</vt:i4>
      </vt:variant>
      <vt:variant>
        <vt:i4>144</vt:i4>
      </vt:variant>
      <vt:variant>
        <vt:i4>0</vt:i4>
      </vt:variant>
      <vt:variant>
        <vt:i4>5</vt:i4>
      </vt:variant>
      <vt:variant>
        <vt:lpwstr>http://www.msmlm.com/msm-mission-control/payment-card-industry-data-security-standard-pci-dss/</vt:lpwstr>
      </vt:variant>
      <vt:variant>
        <vt:lpwstr/>
      </vt:variant>
      <vt:variant>
        <vt:i4>5505047</vt:i4>
      </vt:variant>
      <vt:variant>
        <vt:i4>141</vt:i4>
      </vt:variant>
      <vt:variant>
        <vt:i4>0</vt:i4>
      </vt:variant>
      <vt:variant>
        <vt:i4>5</vt:i4>
      </vt:variant>
      <vt:variant>
        <vt:lpwstr>http://www.msmlm.com/msm-mission-control/credit-card-payment-surcharges-overview/</vt:lpwstr>
      </vt:variant>
      <vt:variant>
        <vt:lpwstr/>
      </vt:variant>
      <vt:variant>
        <vt:i4>2424893</vt:i4>
      </vt:variant>
      <vt:variant>
        <vt:i4>138</vt:i4>
      </vt:variant>
      <vt:variant>
        <vt:i4>0</vt:i4>
      </vt:variant>
      <vt:variant>
        <vt:i4>5</vt:i4>
      </vt:variant>
      <vt:variant>
        <vt:lpwstr>http://www.msmlm.com/msm-mission-control/asic-fs71/</vt:lpwstr>
      </vt:variant>
      <vt:variant>
        <vt:lpwstr/>
      </vt:variant>
      <vt:variant>
        <vt:i4>2359357</vt:i4>
      </vt:variant>
      <vt:variant>
        <vt:i4>135</vt:i4>
      </vt:variant>
      <vt:variant>
        <vt:i4>0</vt:i4>
      </vt:variant>
      <vt:variant>
        <vt:i4>5</vt:i4>
      </vt:variant>
      <vt:variant>
        <vt:lpwstr>http://www.msmlm.com/msm-mission-control/asic-fs70/</vt:lpwstr>
      </vt:variant>
      <vt:variant>
        <vt:lpwstr/>
      </vt:variant>
      <vt:variant>
        <vt:i4>4915216</vt:i4>
      </vt:variant>
      <vt:variant>
        <vt:i4>132</vt:i4>
      </vt:variant>
      <vt:variant>
        <vt:i4>0</vt:i4>
      </vt:variant>
      <vt:variant>
        <vt:i4>5</vt:i4>
      </vt:variant>
      <vt:variant>
        <vt:lpwstr>http://www.msmlm.com/msm-mission-control/cheque-requisition-form/</vt:lpwstr>
      </vt:variant>
      <vt:variant>
        <vt:lpwstr/>
      </vt:variant>
      <vt:variant>
        <vt:i4>3080255</vt:i4>
      </vt:variant>
      <vt:variant>
        <vt:i4>129</vt:i4>
      </vt:variant>
      <vt:variant>
        <vt:i4>0</vt:i4>
      </vt:variant>
      <vt:variant>
        <vt:i4>5</vt:i4>
      </vt:variant>
      <vt:variant>
        <vt:lpwstr>http://www.msmlm.com/msm-mission-control/outsourcing-policy-and-procedures/</vt:lpwstr>
      </vt:variant>
      <vt:variant>
        <vt:lpwstr/>
      </vt:variant>
      <vt:variant>
        <vt:i4>7340152</vt:i4>
      </vt:variant>
      <vt:variant>
        <vt:i4>126</vt:i4>
      </vt:variant>
      <vt:variant>
        <vt:i4>0</vt:i4>
      </vt:variant>
      <vt:variant>
        <vt:i4>5</vt:i4>
      </vt:variant>
      <vt:variant>
        <vt:lpwstr>http://www.msmlm.com/msm-mission-control/rg26-resignation-removal-and-replacement-of-auditors/</vt:lpwstr>
      </vt:variant>
      <vt:variant>
        <vt:lpwstr/>
      </vt:variant>
      <vt:variant>
        <vt:i4>5242902</vt:i4>
      </vt:variant>
      <vt:variant>
        <vt:i4>123</vt:i4>
      </vt:variant>
      <vt:variant>
        <vt:i4>0</vt:i4>
      </vt:variant>
      <vt:variant>
        <vt:i4>5</vt:i4>
      </vt:variant>
      <vt:variant>
        <vt:lpwstr>http://www.msmlm.com/msm-mission-control/audit-and-review-requirements-for-AFS-Licensees---gs003/</vt:lpwstr>
      </vt:variant>
      <vt:variant>
        <vt:lpwstr/>
      </vt:variant>
      <vt:variant>
        <vt:i4>6225942</vt:i4>
      </vt:variant>
      <vt:variant>
        <vt:i4>120</vt:i4>
      </vt:variant>
      <vt:variant>
        <vt:i4>0</vt:i4>
      </vt:variant>
      <vt:variant>
        <vt:i4>5</vt:i4>
      </vt:variant>
      <vt:variant>
        <vt:lpwstr>http://www.msmlm.com/msm-mission-control/audit-letter-of-engagement-template/</vt:lpwstr>
      </vt:variant>
      <vt:variant>
        <vt:lpwstr/>
      </vt:variant>
      <vt:variant>
        <vt:i4>6553639</vt:i4>
      </vt:variant>
      <vt:variant>
        <vt:i4>117</vt:i4>
      </vt:variant>
      <vt:variant>
        <vt:i4>0</vt:i4>
      </vt:variant>
      <vt:variant>
        <vt:i4>5</vt:i4>
      </vt:variant>
      <vt:variant>
        <vt:lpwstr>http://www.msmlm.com/msm-mission-control/loan-commitment-for-rg166/</vt:lpwstr>
      </vt:variant>
      <vt:variant>
        <vt:lpwstr/>
      </vt:variant>
      <vt:variant>
        <vt:i4>8323108</vt:i4>
      </vt:variant>
      <vt:variant>
        <vt:i4>114</vt:i4>
      </vt:variant>
      <vt:variant>
        <vt:i4>0</vt:i4>
      </vt:variant>
      <vt:variant>
        <vt:i4>5</vt:i4>
      </vt:variant>
      <vt:variant>
        <vt:lpwstr>http://www.msmlm.com/msm-mission-control/risk-management-policy-and-procedures/</vt:lpwstr>
      </vt:variant>
      <vt:variant>
        <vt:lpwstr/>
      </vt:variant>
      <vt:variant>
        <vt:i4>2424893</vt:i4>
      </vt:variant>
      <vt:variant>
        <vt:i4>111</vt:i4>
      </vt:variant>
      <vt:variant>
        <vt:i4>0</vt:i4>
      </vt:variant>
      <vt:variant>
        <vt:i4>5</vt:i4>
      </vt:variant>
      <vt:variant>
        <vt:lpwstr>http://www.msmlm.com/msm-mission-control/asic-fs71/</vt:lpwstr>
      </vt:variant>
      <vt:variant>
        <vt:lpwstr/>
      </vt:variant>
      <vt:variant>
        <vt:i4>2359357</vt:i4>
      </vt:variant>
      <vt:variant>
        <vt:i4>108</vt:i4>
      </vt:variant>
      <vt:variant>
        <vt:i4>0</vt:i4>
      </vt:variant>
      <vt:variant>
        <vt:i4>5</vt:i4>
      </vt:variant>
      <vt:variant>
        <vt:lpwstr>http://www.msmlm.com/msm-mission-control/asic-fs70/</vt:lpwstr>
      </vt:variant>
      <vt:variant>
        <vt:lpwstr/>
      </vt:variant>
      <vt:variant>
        <vt:i4>6225942</vt:i4>
      </vt:variant>
      <vt:variant>
        <vt:i4>105</vt:i4>
      </vt:variant>
      <vt:variant>
        <vt:i4>0</vt:i4>
      </vt:variant>
      <vt:variant>
        <vt:i4>5</vt:i4>
      </vt:variant>
      <vt:variant>
        <vt:lpwstr>http://www.msmlm.com/msm-mission-control/audit-letter-of-engagement-template/</vt:lpwstr>
      </vt:variant>
      <vt:variant>
        <vt:lpwstr/>
      </vt:variant>
      <vt:variant>
        <vt:i4>6029338</vt:i4>
      </vt:variant>
      <vt:variant>
        <vt:i4>102</vt:i4>
      </vt:variant>
      <vt:variant>
        <vt:i4>0</vt:i4>
      </vt:variant>
      <vt:variant>
        <vt:i4>5</vt:i4>
      </vt:variant>
      <vt:variant>
        <vt:lpwstr>http://www.msmlm.com/msm-mission-control/rg166-compliance-worksheet/</vt:lpwstr>
      </vt:variant>
      <vt:variant>
        <vt:lpwstr/>
      </vt:variant>
      <vt:variant>
        <vt:i4>7733309</vt:i4>
      </vt:variant>
      <vt:variant>
        <vt:i4>99</vt:i4>
      </vt:variant>
      <vt:variant>
        <vt:i4>0</vt:i4>
      </vt:variant>
      <vt:variant>
        <vt:i4>5</vt:i4>
      </vt:variant>
      <vt:variant>
        <vt:lpwstr>http://www.msmlm.com/msm-mission-control/payment-card-industry-data-security-standard-pci-dss/</vt:lpwstr>
      </vt:variant>
      <vt:variant>
        <vt:lpwstr/>
      </vt:variant>
      <vt:variant>
        <vt:i4>6619189</vt:i4>
      </vt:variant>
      <vt:variant>
        <vt:i4>96</vt:i4>
      </vt:variant>
      <vt:variant>
        <vt:i4>0</vt:i4>
      </vt:variant>
      <vt:variant>
        <vt:i4>5</vt:i4>
      </vt:variant>
      <vt:variant>
        <vt:lpwstr>http://www.msmlm.com/msm-mission-control/rg166-financial-requirements/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 and Procedures</dc:title>
  <dc:subject/>
  <dc:creator>MSM Compliance Services P/L</dc:creator>
  <cp:keywords/>
  <dc:description>210423 Spelling corrections_x000d_
050722 Added reference to Financial Hardship Policy Statement and Application Form._x000d_
200622 Updated GPFS/SPFS guidance and cosmetic changes._x000d_
010721 Separated Inurance intermediary info from other Info, updated to GPFS, cosmetic changes._x000d_
170320 Added Financial Hardship section._x000d_
080319 Cosmetic changes_x000d_
270818 Included ASIC Business Metrics lodgement overview._x000d_
180318 Fixed page numbering_x000d_
051217 Cosmetic changes_x000d_
291117 Included references to NSW Stamp Duty exemptions and updated website links_x000d_
231117 Included comment on Terrorism Levy_x000d_
060917 Included Credit Card Payment Surcharge Section_x000d_
190617 Updated links and cosmetic changes_x000d_
081216 Removed Licensee Lodgement reference and added RG26_x000d_
221112 Removed reference in General Requirements (b)  that business must meet both tests _x000d_
80212 Included Stamp Duty, FES and Withholding tax processes_x000d_
040511 Included Payment Card Industry Data Security Standard information._x000d_
141210 Cosmetic changes_x000d_
140109 Removed reference to Audit Excerpt Template_x000d_
181108 Minor cosmetic changes_x000d_
160708 Updated reference from AGS1068 to GS003_x000d_
110708 Updated reference to Audit Engagement template._x000d_
241003 Updated to reflect change in Pro Forma Licence Conditions_x000d_
12/03/04 Included reference to Audit appointment/removal requirements_x000d_
19/03/04 Included requirement for monies to be transferred out of Trust every 5 days._x000d_
10/07/04 Updated reference to new ASIC Class Order relating to the handling of Client Monies_x000d_
310704 Update to allow business to select option 1 or 2 for RG166 Compliance_x000d_
190804 Included refernce and hints on usage of FS70 and FS71._x000d_
250904 Included requirement and process for daily client money banking and information required for payment to non insurers_x000d_
271104 Included reference to the Audit Requirements Standards AGS 1068._x000d_
120405 Updated audit lodgement date to 31 Oct._x000d_
280405 Updated trust fund transfers to monthly.  Included Reporting Entity and therefore IFRS and General Purpose Requirements._x000d_
241107 Updated to Responsible Manager_x000d_
051106 Chaged FSRA to Corporations Act, referred to Reporting Entity as a "may". Extended solvency definition and ASIC advice on both tests._x000d_
280707 Updated reference to RG166_x000d_
010907 Included reference to the Loan Document RG166.</dc:description>
  <cp:lastModifiedBy>Ivan Handasyde</cp:lastModifiedBy>
  <cp:revision>5</cp:revision>
  <cp:lastPrinted>2017-11-23T03:10:00Z</cp:lastPrinted>
  <dcterms:created xsi:type="dcterms:W3CDTF">2022-06-19T21:03:00Z</dcterms:created>
  <dcterms:modified xsi:type="dcterms:W3CDTF">2023-04-21T03:26:00Z</dcterms:modified>
</cp:coreProperties>
</file>